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37988">
      <w:pPr>
        <w:jc w:val="center"/>
        <w:rPr>
          <w:rFonts w:hint="eastAsia" w:ascii="华文中宋" w:hAnsi="华文中宋" w:eastAsia="华文中宋"/>
          <w:bCs/>
          <w:sz w:val="44"/>
          <w:szCs w:val="44"/>
        </w:rPr>
      </w:pPr>
      <w:r>
        <w:rPr>
          <w:rFonts w:hint="eastAsia" w:ascii="华文中宋" w:hAnsi="华文中宋" w:eastAsia="华文中宋"/>
          <w:bCs/>
          <w:sz w:val="44"/>
          <w:szCs w:val="44"/>
        </w:rPr>
        <w:t>标的物介绍</w:t>
      </w:r>
    </w:p>
    <w:p w14:paraId="4CDA034A">
      <w:pPr>
        <w:rPr>
          <w:rFonts w:hint="eastAsia" w:ascii="黑体" w:hAnsi="黑体" w:eastAsia="黑体"/>
          <w:sz w:val="32"/>
          <w:szCs w:val="32"/>
        </w:rPr>
      </w:pPr>
      <w:r>
        <w:rPr>
          <w:rFonts w:hint="eastAsia" w:ascii="黑体" w:hAnsi="黑体" w:eastAsia="黑体"/>
          <w:sz w:val="32"/>
          <w:szCs w:val="32"/>
        </w:rPr>
        <w:t>一、基本情况</w:t>
      </w:r>
    </w:p>
    <w:p w14:paraId="083BA3EE">
      <w:pPr>
        <w:spacing w:line="360" w:lineRule="auto"/>
        <w:ind w:firstLine="708" w:firstLineChars="252"/>
        <w:rPr>
          <w:rFonts w:hint="eastAsia" w:ascii="仿宋" w:hAnsi="仿宋" w:eastAsia="仿宋"/>
          <w:sz w:val="28"/>
          <w:szCs w:val="24"/>
        </w:rPr>
      </w:pPr>
      <w:bookmarkStart w:id="0" w:name="_Hlk89712118"/>
      <w:r>
        <w:rPr>
          <w:rFonts w:hint="eastAsia" w:ascii="仿宋" w:hAnsi="仿宋" w:eastAsia="仿宋"/>
          <w:b/>
          <w:bCs/>
          <w:sz w:val="28"/>
          <w:szCs w:val="24"/>
          <w:u w:val="single"/>
        </w:rPr>
        <w:t>湛江市云广贸易有限公司系列3户债权</w:t>
      </w:r>
      <w:r>
        <w:rPr>
          <w:rFonts w:ascii="仿宋" w:hAnsi="仿宋" w:eastAsia="仿宋"/>
          <w:sz w:val="28"/>
          <w:szCs w:val="24"/>
          <w:u w:val="single"/>
        </w:rPr>
        <w:t>（下称“标的债权”），</w:t>
      </w:r>
      <w:r>
        <w:rPr>
          <w:rFonts w:hint="eastAsia" w:ascii="仿宋" w:hAnsi="仿宋" w:eastAsia="仿宋"/>
          <w:sz w:val="28"/>
          <w:szCs w:val="24"/>
        </w:rPr>
        <w:t>截至基准日</w:t>
      </w:r>
      <w:r>
        <w:rPr>
          <w:rFonts w:hint="eastAsia" w:ascii="仿宋" w:hAnsi="仿宋" w:eastAsia="仿宋"/>
          <w:sz w:val="28"/>
          <w:szCs w:val="24"/>
          <w:u w:val="single"/>
        </w:rPr>
        <w:t>2025年7月15日</w:t>
      </w:r>
      <w:r>
        <w:rPr>
          <w:rFonts w:ascii="仿宋" w:hAnsi="仿宋" w:eastAsia="仿宋"/>
          <w:sz w:val="28"/>
          <w:szCs w:val="24"/>
        </w:rPr>
        <w:t>，</w:t>
      </w:r>
      <w:r>
        <w:rPr>
          <w:rFonts w:hint="eastAsia" w:ascii="仿宋" w:hAnsi="仿宋" w:eastAsia="仿宋"/>
          <w:sz w:val="28"/>
          <w:szCs w:val="24"/>
        </w:rPr>
        <w:t>标的债权本金合计</w:t>
      </w:r>
      <w:r>
        <w:rPr>
          <w:rFonts w:hint="eastAsia" w:ascii="仿宋" w:hAnsi="仿宋" w:eastAsia="仿宋" w:cs="仿宋"/>
          <w:kern w:val="0"/>
          <w:sz w:val="28"/>
          <w:szCs w:val="28"/>
          <w:u w:val="single"/>
          <w:shd w:val="clear" w:color="auto" w:fill="FFFFFF"/>
          <w:lang w:bidi="ar"/>
        </w:rPr>
        <w:t>31,375.99</w:t>
      </w:r>
      <w:r>
        <w:rPr>
          <w:rFonts w:hint="eastAsia" w:ascii="仿宋" w:hAnsi="仿宋" w:eastAsia="仿宋"/>
          <w:sz w:val="28"/>
          <w:szCs w:val="24"/>
        </w:rPr>
        <w:t>万</w:t>
      </w:r>
      <w:r>
        <w:rPr>
          <w:rFonts w:ascii="仿宋" w:hAnsi="仿宋" w:eastAsia="仿宋"/>
          <w:sz w:val="28"/>
          <w:szCs w:val="24"/>
        </w:rPr>
        <w:t>元。</w:t>
      </w:r>
      <w:bookmarkEnd w:id="0"/>
      <w:r>
        <w:rPr>
          <w:rFonts w:hint="eastAsia" w:ascii="仿宋" w:hAnsi="仿宋" w:eastAsia="仿宋"/>
          <w:sz w:val="28"/>
          <w:szCs w:val="24"/>
        </w:rPr>
        <w:t>具体情况如下：</w:t>
      </w:r>
    </w:p>
    <w:p w14:paraId="6344DB2B">
      <w:pPr>
        <w:spacing w:line="360" w:lineRule="auto"/>
        <w:jc w:val="right"/>
        <w:rPr>
          <w:rFonts w:hint="eastAsia" w:ascii="仿宋" w:hAnsi="仿宋" w:eastAsia="仿宋"/>
          <w:sz w:val="28"/>
          <w:szCs w:val="24"/>
        </w:rPr>
      </w:pPr>
      <w:r>
        <w:rPr>
          <w:rFonts w:hint="eastAsia" w:ascii="仿宋" w:hAnsi="仿宋" w:eastAsia="仿宋"/>
          <w:sz w:val="28"/>
          <w:szCs w:val="24"/>
        </w:rPr>
        <w:t>单位：人民币/万元</w:t>
      </w:r>
    </w:p>
    <w:tbl>
      <w:tblPr>
        <w:tblStyle w:val="12"/>
        <w:tblW w:w="63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079"/>
        <w:gridCol w:w="1161"/>
        <w:gridCol w:w="1188"/>
        <w:gridCol w:w="915"/>
        <w:gridCol w:w="1410"/>
        <w:gridCol w:w="2404"/>
        <w:gridCol w:w="1725"/>
        <w:gridCol w:w="918"/>
      </w:tblGrid>
      <w:tr w14:paraId="6B2CD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14" w:hRule="atLeast"/>
          <w:tblHeader/>
          <w:jc w:val="center"/>
        </w:trPr>
        <w:tc>
          <w:tcPr>
            <w:tcW w:w="1079" w:type="dxa"/>
            <w:shd w:val="clear" w:color="auto" w:fill="FFFFFF"/>
            <w:vAlign w:val="center"/>
          </w:tcPr>
          <w:p w14:paraId="43BB6CDC">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Times New Roman"/>
                <w:b/>
                <w:szCs w:val="21"/>
              </w:rPr>
            </w:pPr>
            <w:r>
              <w:rPr>
                <w:rFonts w:hint="eastAsia" w:ascii="仿宋" w:hAnsi="仿宋" w:eastAsia="仿宋" w:cs="仿宋"/>
                <w:b/>
                <w:bCs/>
                <w:sz w:val="21"/>
                <w:szCs w:val="21"/>
                <w:highlight w:val="none"/>
              </w:rPr>
              <w:t>借款人名称</w:t>
            </w:r>
          </w:p>
        </w:tc>
        <w:tc>
          <w:tcPr>
            <w:tcW w:w="1161" w:type="dxa"/>
            <w:tcBorders>
              <w:bottom w:val="single" w:color="auto" w:sz="4" w:space="0"/>
            </w:tcBorders>
            <w:shd w:val="clear" w:color="auto" w:fill="FFFFFF"/>
            <w:vAlign w:val="center"/>
          </w:tcPr>
          <w:p w14:paraId="084C1A21">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Times New Roman"/>
                <w:b/>
                <w:szCs w:val="21"/>
              </w:rPr>
            </w:pPr>
            <w:r>
              <w:rPr>
                <w:rFonts w:hint="eastAsia" w:ascii="仿宋" w:hAnsi="仿宋" w:eastAsia="仿宋" w:cs="仿宋"/>
                <w:b/>
                <w:bCs/>
                <w:sz w:val="21"/>
                <w:szCs w:val="21"/>
                <w:highlight w:val="none"/>
              </w:rPr>
              <w:t>本金</w:t>
            </w:r>
          </w:p>
        </w:tc>
        <w:tc>
          <w:tcPr>
            <w:tcW w:w="1188" w:type="dxa"/>
            <w:tcBorders>
              <w:bottom w:val="single" w:color="auto" w:sz="4" w:space="0"/>
            </w:tcBorders>
            <w:shd w:val="clear" w:color="auto" w:fill="FFFFFF"/>
            <w:vAlign w:val="center"/>
          </w:tcPr>
          <w:p w14:paraId="6A930E2C">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Times New Roman"/>
                <w:b/>
                <w:szCs w:val="21"/>
              </w:rPr>
            </w:pPr>
            <w:r>
              <w:rPr>
                <w:rFonts w:hint="eastAsia" w:ascii="仿宋" w:hAnsi="仿宋" w:eastAsia="仿宋" w:cs="仿宋"/>
                <w:b/>
                <w:bCs/>
                <w:sz w:val="21"/>
                <w:szCs w:val="21"/>
                <w:highlight w:val="none"/>
              </w:rPr>
              <w:t>利息</w:t>
            </w:r>
            <w:r>
              <w:rPr>
                <w:rFonts w:hint="eastAsia" w:ascii="仿宋" w:hAnsi="仿宋" w:eastAsia="仿宋" w:cs="仿宋"/>
                <w:b/>
                <w:bCs/>
                <w:sz w:val="21"/>
                <w:szCs w:val="21"/>
                <w:highlight w:val="none"/>
                <w:lang w:eastAsia="zh-CN"/>
              </w:rPr>
              <w:t>（</w:t>
            </w:r>
            <w:r>
              <w:rPr>
                <w:rFonts w:hint="eastAsia" w:ascii="仿宋" w:hAnsi="仿宋" w:eastAsia="仿宋" w:cs="仿宋"/>
                <w:b/>
                <w:bCs/>
                <w:sz w:val="21"/>
                <w:szCs w:val="21"/>
                <w:highlight w:val="none"/>
                <w:lang w:val="en-US" w:eastAsia="zh-CN"/>
              </w:rPr>
              <w:t>包含罚息、复利、迟延履行利息</w:t>
            </w:r>
            <w:r>
              <w:rPr>
                <w:rFonts w:hint="eastAsia" w:ascii="仿宋" w:hAnsi="仿宋" w:eastAsia="仿宋" w:cs="仿宋"/>
                <w:b/>
                <w:bCs/>
                <w:sz w:val="21"/>
                <w:szCs w:val="21"/>
                <w:highlight w:val="none"/>
                <w:lang w:eastAsia="zh-CN"/>
              </w:rPr>
              <w:t>）</w:t>
            </w:r>
          </w:p>
        </w:tc>
        <w:tc>
          <w:tcPr>
            <w:tcW w:w="915" w:type="dxa"/>
            <w:tcBorders>
              <w:bottom w:val="single" w:color="auto" w:sz="4" w:space="0"/>
            </w:tcBorders>
            <w:shd w:val="clear" w:color="auto" w:fill="FFFFFF"/>
            <w:vAlign w:val="center"/>
          </w:tcPr>
          <w:p w14:paraId="39C53ADA">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Times New Roman"/>
                <w:b/>
                <w:szCs w:val="21"/>
              </w:rPr>
            </w:pPr>
            <w:r>
              <w:rPr>
                <w:rFonts w:hint="eastAsia" w:ascii="仿宋" w:hAnsi="仿宋" w:eastAsia="仿宋" w:cs="仿宋"/>
                <w:b/>
                <w:bCs/>
                <w:sz w:val="21"/>
                <w:szCs w:val="21"/>
                <w:highlight w:val="none"/>
              </w:rPr>
              <w:t>其他费用</w:t>
            </w:r>
          </w:p>
        </w:tc>
        <w:tc>
          <w:tcPr>
            <w:tcW w:w="1410" w:type="dxa"/>
            <w:tcBorders>
              <w:bottom w:val="single" w:color="auto" w:sz="4" w:space="0"/>
            </w:tcBorders>
            <w:shd w:val="clear" w:color="auto" w:fill="FFFFFF"/>
            <w:vAlign w:val="center"/>
          </w:tcPr>
          <w:p w14:paraId="0E694188">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债权</w:t>
            </w:r>
          </w:p>
          <w:p w14:paraId="38940CCD">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Times New Roman"/>
                <w:b/>
                <w:szCs w:val="21"/>
              </w:rPr>
            </w:pPr>
            <w:r>
              <w:rPr>
                <w:rFonts w:hint="eastAsia" w:ascii="仿宋" w:hAnsi="仿宋" w:eastAsia="仿宋" w:cs="仿宋"/>
                <w:b/>
                <w:bCs/>
                <w:sz w:val="21"/>
                <w:szCs w:val="21"/>
                <w:highlight w:val="none"/>
              </w:rPr>
              <w:t>金额</w:t>
            </w:r>
          </w:p>
        </w:tc>
        <w:tc>
          <w:tcPr>
            <w:tcW w:w="2404" w:type="dxa"/>
            <w:shd w:val="clear" w:color="auto" w:fill="FFFFFF"/>
            <w:vAlign w:val="center"/>
          </w:tcPr>
          <w:p w14:paraId="277FCFC8">
            <w:pPr>
              <w:jc w:val="center"/>
              <w:rPr>
                <w:rFonts w:hint="eastAsia" w:ascii="仿宋" w:hAnsi="仿宋" w:eastAsia="仿宋" w:cs="Times New Roman"/>
                <w:b/>
                <w:szCs w:val="21"/>
              </w:rPr>
            </w:pPr>
            <w:r>
              <w:rPr>
                <w:rFonts w:hint="eastAsia" w:ascii="仿宋" w:hAnsi="仿宋" w:eastAsia="仿宋" w:cs="Times New Roman"/>
                <w:b/>
                <w:szCs w:val="21"/>
              </w:rPr>
              <w:t>抵质押物情况</w:t>
            </w:r>
          </w:p>
        </w:tc>
        <w:tc>
          <w:tcPr>
            <w:tcW w:w="1725" w:type="dxa"/>
            <w:shd w:val="clear" w:color="auto" w:fill="FFFFFF"/>
            <w:vAlign w:val="center"/>
          </w:tcPr>
          <w:p w14:paraId="6D530618">
            <w:pPr>
              <w:jc w:val="center"/>
              <w:rPr>
                <w:rFonts w:hint="eastAsia" w:ascii="仿宋" w:hAnsi="仿宋" w:eastAsia="仿宋" w:cs="Times New Roman"/>
                <w:b/>
                <w:szCs w:val="21"/>
              </w:rPr>
            </w:pPr>
            <w:r>
              <w:rPr>
                <w:rFonts w:hint="eastAsia" w:ascii="仿宋" w:hAnsi="仿宋" w:eastAsia="仿宋" w:cs="Times New Roman"/>
                <w:b/>
                <w:szCs w:val="21"/>
              </w:rPr>
              <w:t>保证人</w:t>
            </w:r>
          </w:p>
        </w:tc>
        <w:tc>
          <w:tcPr>
            <w:tcW w:w="918" w:type="dxa"/>
            <w:shd w:val="clear" w:color="auto" w:fill="FFFFFF"/>
            <w:vAlign w:val="center"/>
          </w:tcPr>
          <w:p w14:paraId="251DA9C7">
            <w:pPr>
              <w:jc w:val="center"/>
              <w:rPr>
                <w:rFonts w:hint="eastAsia" w:ascii="仿宋" w:hAnsi="仿宋" w:eastAsia="仿宋" w:cs="Times New Roman"/>
                <w:b/>
                <w:szCs w:val="21"/>
              </w:rPr>
            </w:pPr>
            <w:r>
              <w:rPr>
                <w:rFonts w:hint="eastAsia" w:ascii="仿宋" w:hAnsi="仿宋" w:eastAsia="仿宋" w:cs="Times New Roman"/>
                <w:b/>
                <w:szCs w:val="21"/>
              </w:rPr>
              <w:t>诉讼</w:t>
            </w:r>
          </w:p>
          <w:p w14:paraId="7E06EFDC">
            <w:pPr>
              <w:jc w:val="center"/>
              <w:rPr>
                <w:rFonts w:hint="eastAsia" w:ascii="仿宋" w:hAnsi="仿宋" w:eastAsia="仿宋" w:cs="Times New Roman"/>
                <w:b/>
                <w:szCs w:val="21"/>
              </w:rPr>
            </w:pPr>
            <w:r>
              <w:rPr>
                <w:rFonts w:hint="eastAsia" w:ascii="仿宋" w:hAnsi="仿宋" w:eastAsia="仿宋" w:cs="Times New Roman"/>
                <w:b/>
                <w:szCs w:val="21"/>
              </w:rPr>
              <w:t>情况</w:t>
            </w:r>
          </w:p>
        </w:tc>
      </w:tr>
      <w:tr w14:paraId="6CEE8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1079" w:type="dxa"/>
            <w:shd w:val="clear" w:color="auto" w:fill="FFFFFF"/>
            <w:vAlign w:val="center"/>
          </w:tcPr>
          <w:p w14:paraId="31457344">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rPr>
              <w:t>广州市升阳贸易有限公司</w:t>
            </w:r>
          </w:p>
        </w:tc>
        <w:tc>
          <w:tcPr>
            <w:tcW w:w="1161" w:type="dxa"/>
            <w:tcBorders>
              <w:top w:val="single" w:color="auto" w:sz="4" w:space="0"/>
              <w:left w:val="nil"/>
              <w:bottom w:val="single" w:color="auto" w:sz="4" w:space="0"/>
              <w:right w:val="single" w:color="auto" w:sz="4" w:space="0"/>
            </w:tcBorders>
            <w:shd w:val="clear" w:color="auto" w:fill="auto"/>
            <w:vAlign w:val="center"/>
          </w:tcPr>
          <w:p w14:paraId="5063C70D">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14,734.00</w:t>
            </w: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1ED82547">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22,816.13</w:t>
            </w:r>
          </w:p>
        </w:tc>
        <w:tc>
          <w:tcPr>
            <w:tcW w:w="915" w:type="dxa"/>
            <w:tcBorders>
              <w:top w:val="single" w:color="auto" w:sz="4" w:space="0"/>
              <w:left w:val="single" w:color="auto" w:sz="4" w:space="0"/>
              <w:bottom w:val="single" w:color="auto" w:sz="4" w:space="0"/>
              <w:right w:val="nil"/>
            </w:tcBorders>
            <w:shd w:val="clear" w:color="auto" w:fill="auto"/>
            <w:vAlign w:val="center"/>
          </w:tcPr>
          <w:p w14:paraId="651AC951">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153.28</w:t>
            </w:r>
          </w:p>
        </w:tc>
        <w:tc>
          <w:tcPr>
            <w:tcW w:w="1410" w:type="dxa"/>
            <w:tcBorders>
              <w:top w:val="single" w:color="auto" w:sz="4" w:space="0"/>
              <w:left w:val="single" w:color="auto" w:sz="4" w:space="0"/>
              <w:bottom w:val="single" w:color="auto" w:sz="4" w:space="0"/>
              <w:right w:val="nil"/>
            </w:tcBorders>
            <w:shd w:val="clear" w:color="auto" w:fill="auto"/>
            <w:vAlign w:val="center"/>
          </w:tcPr>
          <w:p w14:paraId="447B9AF4">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3,7703.41</w:t>
            </w:r>
          </w:p>
        </w:tc>
        <w:tc>
          <w:tcPr>
            <w:tcW w:w="2404" w:type="dxa"/>
            <w:tcBorders>
              <w:top w:val="single" w:color="auto" w:sz="4" w:space="0"/>
              <w:left w:val="single" w:color="auto" w:sz="4" w:space="0"/>
              <w:bottom w:val="single" w:color="auto" w:sz="4" w:space="0"/>
              <w:right w:val="single" w:color="auto" w:sz="4" w:space="0"/>
            </w:tcBorders>
            <w:shd w:val="clear" w:color="auto" w:fill="auto"/>
            <w:vAlign w:val="center"/>
          </w:tcPr>
          <w:p w14:paraId="3BB7B193">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rPr>
              <w:t>位于湛江市东海岛民安镇西湾村十宗工业用地合计</w:t>
            </w:r>
            <w:r>
              <w:rPr>
                <w:rFonts w:hint="eastAsia" w:ascii="仿宋" w:hAnsi="仿宋" w:eastAsia="仿宋" w:cs="仿宋"/>
                <w:sz w:val="21"/>
                <w:szCs w:val="21"/>
                <w:highlight w:val="none"/>
                <w:lang w:val="en-US" w:eastAsia="zh-CN"/>
              </w:rPr>
              <w:t>835,434.60</w:t>
            </w:r>
            <w:r>
              <w:rPr>
                <w:rFonts w:hint="eastAsia" w:ascii="仿宋" w:hAnsi="仿宋" w:eastAsia="仿宋" w:cs="仿宋"/>
                <w:sz w:val="21"/>
                <w:szCs w:val="21"/>
                <w:highlight w:val="none"/>
              </w:rPr>
              <w:t>平方米的土地使用权；</w:t>
            </w:r>
          </w:p>
        </w:tc>
        <w:tc>
          <w:tcPr>
            <w:tcW w:w="1725" w:type="dxa"/>
            <w:tcBorders>
              <w:top w:val="single" w:color="auto" w:sz="4" w:space="0"/>
              <w:left w:val="nil"/>
              <w:bottom w:val="single" w:color="auto" w:sz="4" w:space="0"/>
              <w:right w:val="single" w:color="auto" w:sz="4" w:space="0"/>
            </w:tcBorders>
            <w:shd w:val="clear" w:color="auto" w:fill="auto"/>
            <w:vAlign w:val="center"/>
          </w:tcPr>
          <w:p w14:paraId="11242926">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lang w:eastAsia="zh-CN"/>
              </w:rPr>
              <w:t>廖洪德</w:t>
            </w:r>
          </w:p>
        </w:tc>
        <w:tc>
          <w:tcPr>
            <w:tcW w:w="918" w:type="dxa"/>
            <w:tcBorders>
              <w:top w:val="single" w:color="auto" w:sz="4" w:space="0"/>
              <w:left w:val="nil"/>
              <w:bottom w:val="single" w:color="auto" w:sz="4" w:space="0"/>
              <w:right w:val="single" w:color="auto" w:sz="4" w:space="0"/>
            </w:tcBorders>
            <w:shd w:val="clear" w:color="auto" w:fill="auto"/>
            <w:vAlign w:val="center"/>
          </w:tcPr>
          <w:p w14:paraId="334B5AFE">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已诉讼，已执行</w:t>
            </w:r>
          </w:p>
        </w:tc>
      </w:tr>
      <w:tr w14:paraId="064E6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1079" w:type="dxa"/>
            <w:shd w:val="clear" w:color="auto" w:fill="FFFFFF"/>
            <w:vAlign w:val="center"/>
          </w:tcPr>
          <w:p w14:paraId="1BC6D7F9">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rPr>
              <w:t>广州市源润森实业有限公司</w:t>
            </w:r>
          </w:p>
        </w:tc>
        <w:tc>
          <w:tcPr>
            <w:tcW w:w="1161" w:type="dxa"/>
            <w:tcBorders>
              <w:top w:val="single" w:color="auto" w:sz="4" w:space="0"/>
              <w:left w:val="nil"/>
              <w:bottom w:val="single" w:color="auto" w:sz="4" w:space="0"/>
              <w:right w:val="single" w:color="auto" w:sz="4" w:space="0"/>
            </w:tcBorders>
            <w:shd w:val="clear" w:color="auto" w:fill="auto"/>
            <w:vAlign w:val="center"/>
          </w:tcPr>
          <w:p w14:paraId="71D26F16">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133,05.99</w:t>
            </w: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094D6ECD">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21,259.10</w:t>
            </w:r>
          </w:p>
        </w:tc>
        <w:tc>
          <w:tcPr>
            <w:tcW w:w="915" w:type="dxa"/>
            <w:tcBorders>
              <w:top w:val="single" w:color="auto" w:sz="4" w:space="0"/>
              <w:left w:val="single" w:color="auto" w:sz="4" w:space="0"/>
              <w:bottom w:val="single" w:color="auto" w:sz="4" w:space="0"/>
              <w:right w:val="nil"/>
            </w:tcBorders>
            <w:shd w:val="clear" w:color="auto" w:fill="auto"/>
            <w:vAlign w:val="center"/>
          </w:tcPr>
          <w:p w14:paraId="66F22A11">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143.71</w:t>
            </w:r>
          </w:p>
        </w:tc>
        <w:tc>
          <w:tcPr>
            <w:tcW w:w="1410" w:type="dxa"/>
            <w:tcBorders>
              <w:top w:val="single" w:color="auto" w:sz="4" w:space="0"/>
              <w:left w:val="single" w:color="auto" w:sz="4" w:space="0"/>
              <w:bottom w:val="single" w:color="auto" w:sz="4" w:space="0"/>
              <w:right w:val="nil"/>
            </w:tcBorders>
            <w:shd w:val="clear" w:color="auto" w:fill="auto"/>
            <w:vAlign w:val="center"/>
          </w:tcPr>
          <w:p w14:paraId="4E9CE8FE">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345,800.03</w:t>
            </w:r>
          </w:p>
        </w:tc>
        <w:tc>
          <w:tcPr>
            <w:tcW w:w="2404" w:type="dxa"/>
            <w:tcBorders>
              <w:top w:val="single" w:color="auto" w:sz="4" w:space="0"/>
              <w:left w:val="single" w:color="auto" w:sz="4" w:space="0"/>
              <w:bottom w:val="single" w:color="auto" w:sz="4" w:space="0"/>
              <w:right w:val="single" w:color="auto" w:sz="4" w:space="0"/>
            </w:tcBorders>
            <w:shd w:val="clear" w:color="auto" w:fill="auto"/>
            <w:vAlign w:val="center"/>
          </w:tcPr>
          <w:p w14:paraId="78BBC67A">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rPr>
              <w:t>位于湛江市东海岛民安镇西湾村十一宗工业用地合计876,166.6平方米的土地使用权；</w:t>
            </w:r>
          </w:p>
        </w:tc>
        <w:tc>
          <w:tcPr>
            <w:tcW w:w="1725" w:type="dxa"/>
            <w:tcBorders>
              <w:top w:val="single" w:color="auto" w:sz="4" w:space="0"/>
              <w:left w:val="nil"/>
              <w:bottom w:val="single" w:color="auto" w:sz="4" w:space="0"/>
              <w:right w:val="single" w:color="auto" w:sz="4" w:space="0"/>
            </w:tcBorders>
            <w:shd w:val="clear" w:color="auto" w:fill="auto"/>
            <w:vAlign w:val="center"/>
          </w:tcPr>
          <w:p w14:paraId="226F1AEE">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lang w:eastAsia="zh-CN"/>
              </w:rPr>
              <w:t>廖洪德</w:t>
            </w:r>
          </w:p>
        </w:tc>
        <w:tc>
          <w:tcPr>
            <w:tcW w:w="918" w:type="dxa"/>
            <w:tcBorders>
              <w:top w:val="single" w:color="auto" w:sz="4" w:space="0"/>
              <w:left w:val="nil"/>
              <w:bottom w:val="single" w:color="auto" w:sz="4" w:space="0"/>
              <w:right w:val="single" w:color="auto" w:sz="4" w:space="0"/>
            </w:tcBorders>
            <w:shd w:val="clear" w:color="auto" w:fill="auto"/>
            <w:vAlign w:val="center"/>
          </w:tcPr>
          <w:p w14:paraId="05A1F91D">
            <w:pPr>
              <w:keepNext w:val="0"/>
              <w:keepLines w:val="0"/>
              <w:pageBreakBefore w:val="0"/>
              <w:widowControl/>
              <w:numPr>
                <w:ilvl w:val="255"/>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已诉讼，已执行</w:t>
            </w:r>
          </w:p>
        </w:tc>
      </w:tr>
      <w:tr w14:paraId="47421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1079" w:type="dxa"/>
            <w:shd w:val="clear" w:color="auto" w:fill="FFFFFF"/>
            <w:vAlign w:val="center"/>
          </w:tcPr>
          <w:p w14:paraId="47D90C09">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rPr>
              <w:t>湛江市云广贸易有限公司</w:t>
            </w:r>
          </w:p>
        </w:tc>
        <w:tc>
          <w:tcPr>
            <w:tcW w:w="1161" w:type="dxa"/>
            <w:tcBorders>
              <w:top w:val="single" w:color="auto" w:sz="4" w:space="0"/>
              <w:left w:val="nil"/>
              <w:bottom w:val="single" w:color="auto" w:sz="4" w:space="0"/>
              <w:right w:val="single" w:color="auto" w:sz="4" w:space="0"/>
            </w:tcBorders>
            <w:shd w:val="clear" w:color="auto" w:fill="auto"/>
            <w:vAlign w:val="center"/>
          </w:tcPr>
          <w:p w14:paraId="0E913CA2">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3,336.00</w:t>
            </w: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68154549">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9,088.00</w:t>
            </w:r>
          </w:p>
        </w:tc>
        <w:tc>
          <w:tcPr>
            <w:tcW w:w="915" w:type="dxa"/>
            <w:tcBorders>
              <w:top w:val="single" w:color="auto" w:sz="4" w:space="0"/>
              <w:left w:val="single" w:color="auto" w:sz="4" w:space="0"/>
              <w:bottom w:val="single" w:color="auto" w:sz="4" w:space="0"/>
              <w:right w:val="nil"/>
            </w:tcBorders>
            <w:shd w:val="clear" w:color="auto" w:fill="auto"/>
            <w:vAlign w:val="center"/>
          </w:tcPr>
          <w:p w14:paraId="4F586D5E">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31.24</w:t>
            </w:r>
          </w:p>
        </w:tc>
        <w:tc>
          <w:tcPr>
            <w:tcW w:w="1410" w:type="dxa"/>
            <w:tcBorders>
              <w:top w:val="single" w:color="auto" w:sz="4" w:space="0"/>
              <w:left w:val="single" w:color="auto" w:sz="4" w:space="0"/>
              <w:bottom w:val="single" w:color="auto" w:sz="4" w:space="0"/>
              <w:right w:val="nil"/>
            </w:tcBorders>
            <w:shd w:val="clear" w:color="auto" w:fill="auto"/>
            <w:vAlign w:val="center"/>
          </w:tcPr>
          <w:p w14:paraId="511D9210">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12,455.24</w:t>
            </w:r>
          </w:p>
        </w:tc>
        <w:tc>
          <w:tcPr>
            <w:tcW w:w="2404" w:type="dxa"/>
            <w:tcBorders>
              <w:top w:val="single" w:color="auto" w:sz="4" w:space="0"/>
              <w:left w:val="single" w:color="auto" w:sz="4" w:space="0"/>
              <w:bottom w:val="single" w:color="auto" w:sz="4" w:space="0"/>
              <w:right w:val="single" w:color="auto" w:sz="4" w:space="0"/>
            </w:tcBorders>
            <w:shd w:val="clear" w:color="auto" w:fill="auto"/>
            <w:vAlign w:val="center"/>
          </w:tcPr>
          <w:p w14:paraId="784D88D1">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位于湛江市东海岛民安镇西湾村五宗合计396，524.6平方米的土地使用权；</w:t>
            </w:r>
          </w:p>
          <w:p w14:paraId="3F4ED918">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eastAsia="zh-CN"/>
              </w:rPr>
              <w:t>位于徐闻县徐城镇城东小区(现春雷南路北三横巷1号)一幢三层别墅作为补充抵押物，其中土地总面积为502平方米、建筑面积为357.51平方米。</w:t>
            </w:r>
          </w:p>
        </w:tc>
        <w:tc>
          <w:tcPr>
            <w:tcW w:w="1725" w:type="dxa"/>
            <w:tcBorders>
              <w:top w:val="single" w:color="auto" w:sz="4" w:space="0"/>
              <w:left w:val="nil"/>
              <w:bottom w:val="single" w:color="auto" w:sz="4" w:space="0"/>
              <w:right w:val="single" w:color="auto" w:sz="4" w:space="0"/>
            </w:tcBorders>
            <w:shd w:val="clear" w:color="auto" w:fill="auto"/>
            <w:vAlign w:val="center"/>
          </w:tcPr>
          <w:p w14:paraId="6186D623">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rPr>
              <w:t>湛江经济技术开发区德利船舶修造有限公司、广州市洪德利实业有限公司、湖南株洲钢铁有限公司、廖洪德、杨正煜、朱开甫、黄永华、杨明</w:t>
            </w:r>
          </w:p>
        </w:tc>
        <w:tc>
          <w:tcPr>
            <w:tcW w:w="918" w:type="dxa"/>
            <w:tcBorders>
              <w:top w:val="single" w:color="auto" w:sz="4" w:space="0"/>
              <w:left w:val="nil"/>
              <w:bottom w:val="single" w:color="auto" w:sz="4" w:space="0"/>
              <w:right w:val="single" w:color="auto" w:sz="4" w:space="0"/>
            </w:tcBorders>
            <w:shd w:val="clear" w:color="auto" w:fill="auto"/>
            <w:vAlign w:val="center"/>
          </w:tcPr>
          <w:p w14:paraId="419668CC">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已诉讼，已执行</w:t>
            </w:r>
          </w:p>
        </w:tc>
      </w:tr>
      <w:tr w14:paraId="5FD9B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1079" w:type="dxa"/>
            <w:shd w:val="clear" w:color="auto" w:fill="FFFFFF"/>
            <w:vAlign w:val="center"/>
          </w:tcPr>
          <w:p w14:paraId="6B372B9D">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rPr>
              <w:t>合计</w:t>
            </w:r>
          </w:p>
        </w:tc>
        <w:tc>
          <w:tcPr>
            <w:tcW w:w="1161" w:type="dxa"/>
            <w:tcBorders>
              <w:top w:val="single" w:color="auto" w:sz="4" w:space="0"/>
              <w:left w:val="nil"/>
              <w:bottom w:val="single" w:color="auto" w:sz="4" w:space="0"/>
              <w:right w:val="single" w:color="auto" w:sz="4" w:space="0"/>
            </w:tcBorders>
            <w:shd w:val="clear" w:color="auto" w:fill="auto"/>
            <w:vAlign w:val="center"/>
          </w:tcPr>
          <w:p w14:paraId="1FC2D53F">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r>
              <w:rPr>
                <w:rFonts w:hint="eastAsia" w:ascii="仿宋" w:hAnsi="仿宋" w:eastAsia="仿宋" w:cs="仿宋"/>
                <w:sz w:val="21"/>
                <w:szCs w:val="21"/>
                <w:highlight w:val="none"/>
                <w:lang w:val="en-US" w:eastAsia="zh-CN"/>
              </w:rPr>
              <w:t>31,375.99</w:t>
            </w: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493BF442">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53,034.46</w:t>
            </w:r>
          </w:p>
        </w:tc>
        <w:tc>
          <w:tcPr>
            <w:tcW w:w="915" w:type="dxa"/>
            <w:tcBorders>
              <w:top w:val="single" w:color="auto" w:sz="4" w:space="0"/>
              <w:left w:val="single" w:color="auto" w:sz="4" w:space="0"/>
              <w:bottom w:val="single" w:color="auto" w:sz="4" w:space="0"/>
              <w:right w:val="nil"/>
            </w:tcBorders>
            <w:shd w:val="clear" w:color="auto" w:fill="auto"/>
            <w:vAlign w:val="center"/>
          </w:tcPr>
          <w:p w14:paraId="46859DF7">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sz w:val="21"/>
                <w:szCs w:val="21"/>
                <w:highlight w:val="none"/>
                <w:lang w:val="en-US" w:eastAsia="zh-CN"/>
              </w:rPr>
              <w:t>328.23</w:t>
            </w:r>
          </w:p>
        </w:tc>
        <w:tc>
          <w:tcPr>
            <w:tcW w:w="1410" w:type="dxa"/>
            <w:tcBorders>
              <w:top w:val="single" w:color="auto" w:sz="4" w:space="0"/>
              <w:left w:val="single" w:color="auto" w:sz="4" w:space="0"/>
              <w:bottom w:val="single" w:color="auto" w:sz="4" w:space="0"/>
              <w:right w:val="nil"/>
            </w:tcBorders>
            <w:shd w:val="clear" w:color="auto" w:fill="auto"/>
            <w:vAlign w:val="center"/>
          </w:tcPr>
          <w:p w14:paraId="42376675">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rPr>
            </w:pPr>
            <w:r>
              <w:rPr>
                <w:rFonts w:hint="eastAsia" w:ascii="仿宋" w:hAnsi="仿宋" w:eastAsia="仿宋" w:cs="仿宋"/>
                <w:bCs/>
                <w:kern w:val="0"/>
                <w:sz w:val="21"/>
                <w:szCs w:val="21"/>
                <w:highlight w:val="none"/>
                <w:lang w:eastAsia="zh-CN"/>
              </w:rPr>
              <w:t>847,38.68</w:t>
            </w:r>
          </w:p>
        </w:tc>
        <w:tc>
          <w:tcPr>
            <w:tcW w:w="2404" w:type="dxa"/>
            <w:tcBorders>
              <w:top w:val="single" w:color="auto" w:sz="4" w:space="0"/>
              <w:left w:val="single" w:color="auto" w:sz="4" w:space="0"/>
              <w:bottom w:val="single" w:color="auto" w:sz="4" w:space="0"/>
              <w:right w:val="single" w:color="auto" w:sz="4" w:space="0"/>
            </w:tcBorders>
            <w:shd w:val="clear" w:color="auto" w:fill="auto"/>
            <w:vAlign w:val="center"/>
          </w:tcPr>
          <w:p w14:paraId="6D0EB513">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p>
        </w:tc>
        <w:tc>
          <w:tcPr>
            <w:tcW w:w="1725" w:type="dxa"/>
            <w:tcBorders>
              <w:top w:val="single" w:color="auto" w:sz="4" w:space="0"/>
              <w:left w:val="nil"/>
              <w:bottom w:val="single" w:color="auto" w:sz="4" w:space="0"/>
              <w:right w:val="single" w:color="auto" w:sz="4" w:space="0"/>
            </w:tcBorders>
            <w:shd w:val="clear" w:color="auto" w:fill="auto"/>
            <w:vAlign w:val="center"/>
          </w:tcPr>
          <w:p w14:paraId="6ACB7ABF">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p>
        </w:tc>
        <w:tc>
          <w:tcPr>
            <w:tcW w:w="918" w:type="dxa"/>
            <w:tcBorders>
              <w:top w:val="single" w:color="auto" w:sz="4" w:space="0"/>
              <w:left w:val="nil"/>
              <w:bottom w:val="single" w:color="auto" w:sz="4" w:space="0"/>
              <w:right w:val="single" w:color="auto" w:sz="4" w:space="0"/>
            </w:tcBorders>
            <w:shd w:val="clear" w:color="auto" w:fill="auto"/>
            <w:vAlign w:val="center"/>
          </w:tcPr>
          <w:p w14:paraId="29306B0B">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仿宋" w:hAnsi="仿宋" w:eastAsia="仿宋" w:cs="Times New Roman"/>
                <w:szCs w:val="21"/>
              </w:rPr>
            </w:pPr>
          </w:p>
        </w:tc>
      </w:tr>
    </w:tbl>
    <w:p w14:paraId="14650B27">
      <w:pPr>
        <w:spacing w:line="360" w:lineRule="auto"/>
        <w:ind w:firstLine="560" w:firstLineChars="200"/>
        <w:rPr>
          <w:rFonts w:hint="eastAsia" w:ascii="仿宋" w:hAnsi="仿宋" w:eastAsia="仿宋"/>
          <w:sz w:val="28"/>
          <w:szCs w:val="24"/>
        </w:rPr>
      </w:pPr>
    </w:p>
    <w:p w14:paraId="059793A6">
      <w:pPr>
        <w:rPr>
          <w:rFonts w:hint="eastAsia" w:ascii="黑体" w:hAnsi="黑体" w:eastAsia="黑体"/>
          <w:sz w:val="32"/>
          <w:szCs w:val="32"/>
        </w:rPr>
      </w:pPr>
      <w:r>
        <w:rPr>
          <w:rFonts w:hint="eastAsia" w:ascii="黑体" w:hAnsi="黑体" w:eastAsia="黑体"/>
          <w:sz w:val="32"/>
          <w:szCs w:val="32"/>
        </w:rPr>
        <w:t>二、资产介绍</w:t>
      </w:r>
    </w:p>
    <w:p w14:paraId="5B26E871">
      <w:pPr>
        <w:pStyle w:val="10"/>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上述债权具体情况如下：</w:t>
      </w:r>
    </w:p>
    <w:p w14:paraId="210E08FC">
      <w:pPr>
        <w:pStyle w:val="10"/>
        <w:widowControl/>
        <w:spacing w:line="360" w:lineRule="atLeast"/>
        <w:ind w:firstLine="560" w:firstLineChars="200"/>
        <w:rPr>
          <w:rFonts w:hint="eastAsia" w:ascii="仿宋_GB2312" w:hAnsi="仿宋" w:eastAsia="仿宋_GB2312" w:cs="仿宋"/>
          <w:b/>
          <w:bCs/>
          <w:color w:val="000000"/>
          <w:sz w:val="28"/>
          <w:szCs w:val="28"/>
          <w:lang w:eastAsia="zh-CN"/>
        </w:rPr>
      </w:pPr>
      <w:r>
        <w:rPr>
          <w:rFonts w:hint="eastAsia" w:ascii="仿宋_GB2312" w:hAnsi="仿宋" w:eastAsia="仿宋_GB2312" w:cs="仿宋"/>
          <w:b w:val="0"/>
          <w:bCs w:val="0"/>
          <w:color w:val="000000"/>
          <w:sz w:val="28"/>
          <w:szCs w:val="28"/>
        </w:rPr>
        <w:t>1．</w:t>
      </w:r>
      <w:r>
        <w:rPr>
          <w:rFonts w:hint="eastAsia" w:ascii="仿宋_GB2312" w:hAnsi="仿宋" w:eastAsia="仿宋_GB2312" w:cs="仿宋"/>
          <w:color w:val="000000"/>
          <w:sz w:val="28"/>
          <w:szCs w:val="28"/>
        </w:rPr>
        <w:t>抵押物湛江市东海岛民安镇西湾村</w:t>
      </w:r>
      <w:r>
        <w:rPr>
          <w:rFonts w:hint="eastAsia" w:ascii="仿宋_GB2312" w:hAnsi="仿宋" w:eastAsia="仿宋_GB2312" w:cs="仿宋"/>
          <w:color w:val="000000"/>
          <w:sz w:val="28"/>
          <w:szCs w:val="28"/>
          <w:lang w:val="en-US" w:eastAsia="zh-CN"/>
        </w:rPr>
        <w:t>26</w:t>
      </w:r>
      <w:r>
        <w:rPr>
          <w:rFonts w:hint="eastAsia" w:ascii="仿宋_GB2312" w:hAnsi="仿宋" w:eastAsia="仿宋_GB2312" w:cs="仿宋"/>
          <w:color w:val="000000"/>
          <w:sz w:val="28"/>
          <w:szCs w:val="28"/>
        </w:rPr>
        <w:t>宗土地</w:t>
      </w:r>
      <w:r>
        <w:rPr>
          <w:rFonts w:hint="eastAsia" w:ascii="仿宋_GB2312" w:hAnsi="仿宋" w:eastAsia="仿宋_GB2312" w:cs="仿宋"/>
          <w:color w:val="000000"/>
          <w:sz w:val="28"/>
          <w:szCs w:val="28"/>
          <w:lang w:eastAsia="zh-CN"/>
        </w:rPr>
        <w:t>，土地面积【2</w:t>
      </w:r>
      <w:r>
        <w:rPr>
          <w:rFonts w:hint="eastAsia" w:ascii="仿宋_GB2312" w:hAnsi="仿宋" w:eastAsia="仿宋_GB2312" w:cs="仿宋"/>
          <w:color w:val="000000"/>
          <w:sz w:val="28"/>
          <w:szCs w:val="28"/>
          <w:lang w:val="en-US" w:eastAsia="zh-CN"/>
        </w:rPr>
        <w:t>,</w:t>
      </w:r>
      <w:r>
        <w:rPr>
          <w:rFonts w:hint="eastAsia" w:ascii="仿宋_GB2312" w:hAnsi="仿宋" w:eastAsia="仿宋_GB2312" w:cs="仿宋"/>
          <w:color w:val="000000"/>
          <w:sz w:val="28"/>
          <w:szCs w:val="28"/>
          <w:lang w:eastAsia="zh-CN"/>
        </w:rPr>
        <w:t>108</w:t>
      </w:r>
      <w:r>
        <w:rPr>
          <w:rFonts w:hint="eastAsia" w:ascii="仿宋_GB2312" w:hAnsi="仿宋" w:eastAsia="仿宋_GB2312" w:cs="仿宋"/>
          <w:color w:val="000000"/>
          <w:sz w:val="28"/>
          <w:szCs w:val="28"/>
          <w:lang w:val="en-US" w:eastAsia="zh-CN"/>
        </w:rPr>
        <w:t>,</w:t>
      </w:r>
      <w:r>
        <w:rPr>
          <w:rFonts w:hint="eastAsia" w:ascii="仿宋_GB2312" w:hAnsi="仿宋" w:eastAsia="仿宋_GB2312" w:cs="仿宋"/>
          <w:color w:val="000000"/>
          <w:sz w:val="28"/>
          <w:szCs w:val="28"/>
          <w:lang w:eastAsia="zh-CN"/>
        </w:rPr>
        <w:t>125.80㎡】，权属人为湛江市云广贸易有限公司，土地证载用途为工业用地，土地使用期限至2056年5月9日。抵押物地处东海岛西南角，位于S50东雷高速和667县道北侧，距离铁路东海岛站约25公里，距离东海岛湛江巴斯夫项目约28公里。</w:t>
      </w:r>
    </w:p>
    <w:p w14:paraId="60E3EBD7">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lang w:val="en-US" w:eastAsia="zh-CN"/>
        </w:rPr>
        <w:t>抵押物</w:t>
      </w:r>
      <w:r>
        <w:rPr>
          <w:rFonts w:hint="eastAsia" w:ascii="仿宋_GB2312" w:hAnsi="仿宋" w:eastAsia="仿宋_GB2312" w:cs="仿宋"/>
          <w:b w:val="0"/>
          <w:bCs w:val="0"/>
          <w:color w:val="000000"/>
          <w:sz w:val="28"/>
          <w:szCs w:val="28"/>
        </w:rPr>
        <w:t>位于东海岛，系湛江市经济技术开发区的重要组成部分，具备推动“平急两用”公共基础设施建设的潜力</w:t>
      </w: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rPr>
        <w:t>情况如下：</w:t>
      </w:r>
    </w:p>
    <w:p w14:paraId="56CEBDF5">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lang w:val="en-US" w:eastAsia="zh-CN"/>
        </w:rPr>
        <w:t>1</w:t>
      </w: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rPr>
        <w:t>项目所在地具备“平急两用”政策支持</w:t>
      </w:r>
    </w:p>
    <w:p w14:paraId="6B4C70D2">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rPr>
        <w:t>湛江市被列为粤西唯一国家“平急两用”公共基础设施试点城市，市委工作会议强调要加快“平急两用”项目建设，提升城市应急保障能力。</w:t>
      </w:r>
    </w:p>
    <w:p w14:paraId="437DC431">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lang w:val="en-US" w:eastAsia="zh-CN"/>
        </w:rPr>
        <w:t>2</w:t>
      </w: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rPr>
        <w:t>项目所在地具备“平急两用”基础设施条件</w:t>
      </w:r>
    </w:p>
    <w:p w14:paraId="35138C60">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rPr>
        <w:t>东海岛已规划建设广湛高铁湛江段，交通互联互通水平提升，为应急疏散和物资运输提供便利。港区规划（如东海岛港区）具备物流仓储功能，可转化为应急物资储备中心。</w:t>
      </w:r>
    </w:p>
    <w:p w14:paraId="7139EEAD">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lang w:val="en-US" w:eastAsia="zh-CN"/>
        </w:rPr>
        <w:t>3</w:t>
      </w: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rPr>
        <w:t>项目所在地具有“平急两用”产业与空间布局优势</w:t>
      </w:r>
    </w:p>
    <w:p w14:paraId="083A24F3">
      <w:pPr>
        <w:pStyle w:val="10"/>
        <w:widowControl/>
        <w:spacing w:line="360" w:lineRule="atLeast"/>
        <w:ind w:firstLine="560" w:firstLineChars="200"/>
        <w:rPr>
          <w:rFonts w:hint="eastAsia" w:ascii="仿宋_GB2312" w:hAnsi="仿宋" w:eastAsia="仿宋_GB2312" w:cs="仿宋"/>
          <w:b w:val="0"/>
          <w:bCs w:val="0"/>
          <w:color w:val="000000"/>
          <w:sz w:val="28"/>
          <w:szCs w:val="28"/>
        </w:rPr>
      </w:pPr>
      <w:r>
        <w:rPr>
          <w:rFonts w:hint="eastAsia" w:ascii="仿宋_GB2312" w:hAnsi="仿宋" w:eastAsia="仿宋_GB2312" w:cs="仿宋"/>
          <w:b w:val="0"/>
          <w:bCs w:val="0"/>
          <w:color w:val="000000"/>
          <w:sz w:val="28"/>
          <w:szCs w:val="28"/>
        </w:rPr>
        <w:t>东海岛定位为现代化工业新城，拥有产业集聚优势，部分工业设施（如仓储、物流园区）可改造为应急生产或物资调配中心。国土空间规划（2021—2035年）强调生态保护与可持续发展，预留的绿地、防护空间可用于应急避难场所。</w:t>
      </w:r>
    </w:p>
    <w:p w14:paraId="3804D971">
      <w:pPr>
        <w:pStyle w:val="10"/>
        <w:widowControl/>
        <w:spacing w:line="360" w:lineRule="atLeast"/>
        <w:ind w:firstLine="560" w:firstLineChars="200"/>
        <w:rPr>
          <w:rFonts w:hint="eastAsia" w:ascii="仿宋_GB2312" w:hAnsi="仿宋" w:eastAsia="仿宋_GB2312" w:cs="仿宋"/>
          <w:b w:val="0"/>
          <w:bCs w:val="0"/>
          <w:color w:val="000000"/>
          <w:sz w:val="28"/>
          <w:szCs w:val="28"/>
          <w:lang w:eastAsia="zh-CN"/>
        </w:rPr>
      </w:pPr>
      <w:r>
        <w:rPr>
          <w:rFonts w:hint="eastAsia" w:ascii="仿宋_GB2312" w:hAnsi="仿宋" w:eastAsia="仿宋_GB2312" w:cs="仿宋"/>
          <w:b w:val="0"/>
          <w:bCs w:val="0"/>
          <w:color w:val="000000"/>
          <w:sz w:val="28"/>
          <w:szCs w:val="28"/>
        </w:rPr>
        <w:t>2．广东省徐闻县徐闻镇城东小区</w:t>
      </w:r>
      <w:r>
        <w:rPr>
          <w:rFonts w:hint="eastAsia" w:ascii="仿宋_GB2312" w:hAnsi="仿宋" w:eastAsia="仿宋_GB2312" w:cs="仿宋"/>
          <w:b w:val="0"/>
          <w:bCs w:val="0"/>
          <w:color w:val="000000"/>
          <w:sz w:val="28"/>
          <w:szCs w:val="28"/>
          <w:lang w:eastAsia="zh-CN"/>
        </w:rPr>
        <w:t>，土地自用面积为242</w:t>
      </w:r>
      <w:r>
        <w:rPr>
          <w:rFonts w:hint="eastAsia" w:ascii="仿宋_GB2312" w:hAnsi="仿宋" w:eastAsia="仿宋_GB2312" w:cs="仿宋"/>
          <w:color w:val="000000"/>
          <w:sz w:val="28"/>
          <w:szCs w:val="28"/>
          <w:lang w:eastAsia="zh-CN"/>
        </w:rPr>
        <w:t>㎡</w:t>
      </w:r>
      <w:r>
        <w:rPr>
          <w:rFonts w:hint="eastAsia" w:ascii="仿宋_GB2312" w:hAnsi="仿宋" w:eastAsia="仿宋_GB2312" w:cs="仿宋"/>
          <w:b w:val="0"/>
          <w:bCs w:val="0"/>
          <w:color w:val="000000"/>
          <w:sz w:val="28"/>
          <w:szCs w:val="28"/>
          <w:lang w:eastAsia="zh-CN"/>
        </w:rPr>
        <w:t>，建筑面积为357.51</w:t>
      </w:r>
      <w:r>
        <w:rPr>
          <w:rFonts w:hint="eastAsia" w:ascii="仿宋_GB2312" w:hAnsi="仿宋" w:eastAsia="仿宋_GB2312" w:cs="仿宋"/>
          <w:color w:val="000000"/>
          <w:sz w:val="28"/>
          <w:szCs w:val="28"/>
          <w:lang w:eastAsia="zh-CN"/>
        </w:rPr>
        <w:t>㎡</w:t>
      </w:r>
      <w:r>
        <w:rPr>
          <w:rFonts w:hint="eastAsia" w:ascii="仿宋_GB2312" w:hAnsi="仿宋" w:eastAsia="仿宋_GB2312" w:cs="仿宋"/>
          <w:b w:val="0"/>
          <w:bCs w:val="0"/>
          <w:color w:val="000000"/>
          <w:sz w:val="28"/>
          <w:szCs w:val="28"/>
          <w:lang w:eastAsia="zh-CN"/>
        </w:rPr>
        <w:t>。</w:t>
      </w:r>
      <w:r>
        <w:rPr>
          <w:rFonts w:hint="eastAsia" w:ascii="仿宋_GB2312" w:hAnsi="仿宋" w:eastAsia="仿宋_GB2312" w:cs="仿宋"/>
          <w:b w:val="0"/>
          <w:bCs w:val="0"/>
          <w:color w:val="000000"/>
          <w:sz w:val="28"/>
          <w:szCs w:val="28"/>
          <w:lang w:val="en-US" w:eastAsia="zh-CN"/>
        </w:rPr>
        <w:t>抵押物</w:t>
      </w:r>
      <w:r>
        <w:rPr>
          <w:rFonts w:hint="eastAsia" w:ascii="仿宋_GB2312" w:hAnsi="仿宋" w:eastAsia="仿宋_GB2312" w:cs="仿宋"/>
          <w:b w:val="0"/>
          <w:bCs w:val="0"/>
          <w:color w:val="000000"/>
          <w:sz w:val="28"/>
          <w:szCs w:val="28"/>
          <w:lang w:eastAsia="zh-CN"/>
        </w:rPr>
        <w:t>距离徐闻县人民政府约1.5公里，距离徐闻县人民公园约1公里，距离徐闻中医院约700米。</w:t>
      </w:r>
    </w:p>
    <w:p w14:paraId="12B5296C">
      <w:pPr>
        <w:rPr>
          <w:rFonts w:ascii="仿宋" w:hAnsi="仿宋" w:eastAsia="仿宋" w:cs="Times New Roman"/>
          <w:bCs/>
          <w:kern w:val="0"/>
          <w:sz w:val="28"/>
          <w:szCs w:val="32"/>
        </w:rPr>
      </w:pPr>
    </w:p>
    <w:p w14:paraId="5B6DDFE9">
      <w:pPr>
        <w:pStyle w:val="10"/>
        <w:widowControl/>
        <w:spacing w:line="360" w:lineRule="atLeast"/>
        <w:ind w:firstLine="0" w:firstLineChars="0"/>
        <w:rPr>
          <w:rFonts w:ascii="黑体" w:hAnsi="黑体" w:eastAsia="黑体" w:cstheme="minorBidi"/>
          <w:sz w:val="32"/>
          <w:szCs w:val="32"/>
        </w:rPr>
      </w:pPr>
      <w:r>
        <w:rPr>
          <w:rFonts w:hint="eastAsia" w:ascii="黑体" w:hAnsi="黑体" w:eastAsia="黑体" w:cstheme="minorBidi"/>
          <w:sz w:val="32"/>
          <w:szCs w:val="32"/>
        </w:rPr>
        <w:t>三、主要抵押物及周边照片</w:t>
      </w:r>
    </w:p>
    <w:tbl>
      <w:tblPr>
        <w:tblStyle w:val="13"/>
        <w:tblW w:w="5453"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5"/>
        <w:gridCol w:w="4646"/>
      </w:tblGrid>
      <w:tr w14:paraId="3EB6D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38C02777">
            <w:pPr>
              <w:rPr>
                <w:rFonts w:ascii="仿宋" w:hAnsi="仿宋" w:eastAsia="仿宋" w:cs="Times New Roman"/>
                <w:kern w:val="0"/>
                <w:sz w:val="28"/>
                <w:szCs w:val="32"/>
              </w:rPr>
            </w:pPr>
            <w:r>
              <w:rPr>
                <w:rFonts w:hint="eastAsia" w:ascii="仿宋" w:hAnsi="仿宋" w:eastAsia="仿宋" w:cs="Times New Roman"/>
                <w:kern w:val="0"/>
                <w:sz w:val="28"/>
                <w:szCs w:val="32"/>
                <w:lang w:val="en-US" w:eastAsia="zh-CN"/>
              </w:rPr>
              <w:t>1、</w:t>
            </w:r>
            <w:r>
              <w:rPr>
                <w:rFonts w:hint="eastAsia" w:ascii="仿宋" w:hAnsi="仿宋" w:eastAsia="仿宋" w:cs="Times New Roman"/>
                <w:kern w:val="0"/>
                <w:sz w:val="28"/>
                <w:szCs w:val="32"/>
              </w:rPr>
              <w:t>湛江市东海岛民安镇西湾村26宗土地</w:t>
            </w:r>
            <w:r>
              <w:rPr>
                <w:rFonts w:hint="eastAsia" w:ascii="仿宋" w:hAnsi="仿宋" w:eastAsia="仿宋" w:cs="Times New Roman"/>
                <w:kern w:val="0"/>
                <w:sz w:val="28"/>
                <w:szCs w:val="32"/>
                <w:lang w:eastAsia="zh-CN"/>
              </w:rPr>
              <w:t>，</w:t>
            </w:r>
            <w:r>
              <w:rPr>
                <w:rFonts w:hint="eastAsia" w:ascii="仿宋_GB2312" w:hAnsi="仿宋" w:eastAsia="仿宋_GB2312" w:cs="仿宋"/>
                <w:color w:val="000000"/>
                <w:sz w:val="28"/>
                <w:szCs w:val="28"/>
                <w:lang w:eastAsia="zh-CN"/>
              </w:rPr>
              <w:t>土地面积【2</w:t>
            </w:r>
            <w:r>
              <w:rPr>
                <w:rFonts w:hint="eastAsia" w:ascii="仿宋_GB2312" w:hAnsi="仿宋" w:eastAsia="仿宋_GB2312" w:cs="仿宋"/>
                <w:color w:val="000000"/>
                <w:sz w:val="28"/>
                <w:szCs w:val="28"/>
                <w:lang w:val="en-US" w:eastAsia="zh-CN"/>
              </w:rPr>
              <w:t>,</w:t>
            </w:r>
            <w:bookmarkStart w:id="1" w:name="_GoBack"/>
            <w:bookmarkEnd w:id="1"/>
            <w:r>
              <w:rPr>
                <w:rFonts w:hint="eastAsia" w:ascii="仿宋_GB2312" w:hAnsi="仿宋" w:eastAsia="仿宋_GB2312" w:cs="仿宋"/>
                <w:color w:val="000000"/>
                <w:sz w:val="28"/>
                <w:szCs w:val="28"/>
                <w:lang w:eastAsia="zh-CN"/>
              </w:rPr>
              <w:t>108</w:t>
            </w:r>
            <w:r>
              <w:rPr>
                <w:rFonts w:hint="eastAsia" w:ascii="仿宋_GB2312" w:hAnsi="仿宋" w:eastAsia="仿宋_GB2312" w:cs="仿宋"/>
                <w:color w:val="000000"/>
                <w:sz w:val="28"/>
                <w:szCs w:val="28"/>
                <w:lang w:val="en-US" w:eastAsia="zh-CN"/>
              </w:rPr>
              <w:t>,</w:t>
            </w:r>
            <w:r>
              <w:rPr>
                <w:rFonts w:hint="eastAsia" w:ascii="仿宋_GB2312" w:hAnsi="仿宋" w:eastAsia="仿宋_GB2312" w:cs="仿宋"/>
                <w:color w:val="000000"/>
                <w:sz w:val="28"/>
                <w:szCs w:val="28"/>
                <w:lang w:eastAsia="zh-CN"/>
              </w:rPr>
              <w:t>125.80㎡】</w:t>
            </w:r>
          </w:p>
        </w:tc>
      </w:tr>
      <w:tr w14:paraId="00A93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68D9A559">
            <w:pPr>
              <w:rPr>
                <w:rFonts w:hint="eastAsia" w:ascii="仿宋" w:hAnsi="仿宋" w:eastAsia="仿宋" w:cs="Times New Roman"/>
                <w:kern w:val="0"/>
                <w:sz w:val="28"/>
                <w:szCs w:val="32"/>
              </w:rPr>
            </w:pP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lang w:eastAsia="zh-CN"/>
              </w:rPr>
              <w:drawing>
                <wp:inline distT="0" distB="0" distL="114300" distR="114300">
                  <wp:extent cx="5262880" cy="2817495"/>
                  <wp:effectExtent l="0" t="0" r="13970" b="1905"/>
                  <wp:docPr id="9" name="图片 9" descr="17526364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52636444026"/>
                          <pic:cNvPicPr>
                            <a:picLocks noChangeAspect="1"/>
                          </pic:cNvPicPr>
                        </pic:nvPicPr>
                        <pic:blipFill>
                          <a:blip r:embed="rId4"/>
                          <a:stretch>
                            <a:fillRect/>
                          </a:stretch>
                        </pic:blipFill>
                        <pic:spPr>
                          <a:xfrm>
                            <a:off x="0" y="0"/>
                            <a:ext cx="5262880" cy="2817495"/>
                          </a:xfrm>
                          <a:prstGeom prst="rect">
                            <a:avLst/>
                          </a:prstGeom>
                        </pic:spPr>
                      </pic:pic>
                    </a:graphicData>
                  </a:graphic>
                </wp:inline>
              </w:drawing>
            </w:r>
          </w:p>
        </w:tc>
      </w:tr>
      <w:tr w14:paraId="326F1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29A1776B">
            <w:pPr>
              <w:rPr>
                <w:rFonts w:hint="eastAsia" w:ascii="仿宋" w:hAnsi="仿宋" w:eastAsia="仿宋" w:cs="Times New Roman"/>
                <w:kern w:val="0"/>
                <w:sz w:val="28"/>
                <w:szCs w:val="32"/>
              </w:rPr>
            </w:pP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lang w:eastAsia="zh-CN"/>
              </w:rPr>
              <w:drawing>
                <wp:inline distT="0" distB="0" distL="114300" distR="114300">
                  <wp:extent cx="5271770" cy="2726055"/>
                  <wp:effectExtent l="0" t="0" r="5080" b="17145"/>
                  <wp:docPr id="10" name="图片 10" descr="1752636473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52636473304"/>
                          <pic:cNvPicPr>
                            <a:picLocks noChangeAspect="1"/>
                          </pic:cNvPicPr>
                        </pic:nvPicPr>
                        <pic:blipFill>
                          <a:blip r:embed="rId5"/>
                          <a:stretch>
                            <a:fillRect/>
                          </a:stretch>
                        </pic:blipFill>
                        <pic:spPr>
                          <a:xfrm>
                            <a:off x="0" y="0"/>
                            <a:ext cx="5271770" cy="2726055"/>
                          </a:xfrm>
                          <a:prstGeom prst="rect">
                            <a:avLst/>
                          </a:prstGeom>
                        </pic:spPr>
                      </pic:pic>
                    </a:graphicData>
                  </a:graphic>
                </wp:inline>
              </w:drawing>
            </w:r>
          </w:p>
        </w:tc>
      </w:tr>
      <w:tr w14:paraId="6475C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2" w:type="pct"/>
            <w:tcBorders>
              <w:top w:val="single" w:color="auto" w:sz="4" w:space="0"/>
              <w:left w:val="single" w:color="auto" w:sz="4" w:space="0"/>
              <w:bottom w:val="single" w:color="auto" w:sz="4" w:space="0"/>
              <w:right w:val="single" w:color="auto" w:sz="4" w:space="0"/>
            </w:tcBorders>
            <w:vAlign w:val="center"/>
          </w:tcPr>
          <w:p w14:paraId="1F31C5C6">
            <w:pPr>
              <w:rPr>
                <w:rFonts w:hint="eastAsia" w:ascii="仿宋" w:hAnsi="仿宋" w:eastAsia="仿宋" w:cs="Times New Roman"/>
                <w:kern w:val="0"/>
                <w:sz w:val="28"/>
                <w:szCs w:val="32"/>
              </w:rPr>
            </w:pPr>
            <w:r>
              <w:rPr>
                <w:rFonts w:hint="eastAsia" w:ascii="仿宋" w:hAnsi="仿宋" w:eastAsia="仿宋"/>
                <w:sz w:val="32"/>
                <w:szCs w:val="32"/>
                <w:highlight w:val="none"/>
                <w:lang w:eastAsia="zh-CN"/>
              </w:rPr>
              <w:drawing>
                <wp:inline distT="0" distB="0" distL="114300" distR="114300">
                  <wp:extent cx="2804795" cy="1924685"/>
                  <wp:effectExtent l="0" t="0" r="14605" b="18415"/>
                  <wp:docPr id="18" name="图片 18" descr="微信图片_20250624152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微信图片_20250624152545"/>
                          <pic:cNvPicPr>
                            <a:picLocks noChangeAspect="1"/>
                          </pic:cNvPicPr>
                        </pic:nvPicPr>
                        <pic:blipFill>
                          <a:blip r:embed="rId6"/>
                          <a:stretch>
                            <a:fillRect/>
                          </a:stretch>
                        </pic:blipFill>
                        <pic:spPr>
                          <a:xfrm>
                            <a:off x="0" y="0"/>
                            <a:ext cx="2804795" cy="1924685"/>
                          </a:xfrm>
                          <a:prstGeom prst="rect">
                            <a:avLst/>
                          </a:prstGeom>
                        </pic:spPr>
                      </pic:pic>
                    </a:graphicData>
                  </a:graphic>
                </wp:inline>
              </w:drawing>
            </w:r>
          </w:p>
        </w:tc>
        <w:tc>
          <w:tcPr>
            <w:tcW w:w="2497" w:type="pct"/>
            <w:tcBorders>
              <w:top w:val="single" w:color="auto" w:sz="4" w:space="0"/>
              <w:left w:val="single" w:color="auto" w:sz="4" w:space="0"/>
              <w:bottom w:val="single" w:color="auto" w:sz="4" w:space="0"/>
              <w:right w:val="single" w:color="auto" w:sz="4" w:space="0"/>
            </w:tcBorders>
            <w:vAlign w:val="center"/>
          </w:tcPr>
          <w:p w14:paraId="7B8CD289">
            <w:pPr>
              <w:rPr>
                <w:rFonts w:hint="eastAsia" w:ascii="仿宋" w:hAnsi="仿宋" w:eastAsia="仿宋" w:cs="Times New Roman"/>
                <w:kern w:val="0"/>
                <w:sz w:val="28"/>
                <w:szCs w:val="32"/>
              </w:rPr>
            </w:pPr>
            <w:r>
              <w:rPr>
                <w:rFonts w:hint="eastAsia" w:ascii="仿宋" w:hAnsi="仿宋" w:eastAsia="仿宋"/>
                <w:sz w:val="32"/>
                <w:szCs w:val="32"/>
                <w:highlight w:val="none"/>
                <w:lang w:eastAsia="zh-CN"/>
              </w:rPr>
              <w:drawing>
                <wp:inline distT="0" distB="0" distL="114300" distR="114300">
                  <wp:extent cx="2795905" cy="1924685"/>
                  <wp:effectExtent l="0" t="0" r="4445" b="18415"/>
                  <wp:docPr id="27" name="图片 27" descr="微信图片_20250624152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图片_20250624152610"/>
                          <pic:cNvPicPr>
                            <a:picLocks noChangeAspect="1"/>
                          </pic:cNvPicPr>
                        </pic:nvPicPr>
                        <pic:blipFill>
                          <a:blip r:embed="rId7"/>
                          <a:stretch>
                            <a:fillRect/>
                          </a:stretch>
                        </pic:blipFill>
                        <pic:spPr>
                          <a:xfrm>
                            <a:off x="0" y="0"/>
                            <a:ext cx="2795905" cy="1924685"/>
                          </a:xfrm>
                          <a:prstGeom prst="rect">
                            <a:avLst/>
                          </a:prstGeom>
                        </pic:spPr>
                      </pic:pic>
                    </a:graphicData>
                  </a:graphic>
                </wp:inline>
              </w:drawing>
            </w:r>
          </w:p>
        </w:tc>
      </w:tr>
      <w:tr w14:paraId="390A9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2" w:type="pct"/>
            <w:tcBorders>
              <w:top w:val="single" w:color="auto" w:sz="4" w:space="0"/>
              <w:left w:val="single" w:color="auto" w:sz="4" w:space="0"/>
              <w:bottom w:val="single" w:color="auto" w:sz="4" w:space="0"/>
              <w:right w:val="single" w:color="auto" w:sz="4" w:space="0"/>
            </w:tcBorders>
            <w:vAlign w:val="center"/>
          </w:tcPr>
          <w:p w14:paraId="64C3D879">
            <w:pPr>
              <w:rPr>
                <w:rFonts w:hint="eastAsia" w:ascii="仿宋" w:hAnsi="仿宋" w:eastAsia="仿宋" w:cs="Times New Roman"/>
                <w:kern w:val="0"/>
                <w:sz w:val="28"/>
                <w:szCs w:val="32"/>
                <w:lang w:eastAsia="zh-CN"/>
              </w:rPr>
            </w:pPr>
            <w:r>
              <w:rPr>
                <w:rFonts w:hint="eastAsia" w:ascii="仿宋" w:hAnsi="仿宋" w:eastAsia="仿宋" w:cs="Times New Roman"/>
                <w:kern w:val="0"/>
                <w:sz w:val="28"/>
                <w:szCs w:val="32"/>
                <w:lang w:eastAsia="zh-CN"/>
              </w:rPr>
              <w:drawing>
                <wp:inline distT="0" distB="0" distL="114300" distR="114300">
                  <wp:extent cx="2816225" cy="2112010"/>
                  <wp:effectExtent l="0" t="0" r="3175" b="2540"/>
                  <wp:docPr id="1" name="图片 1"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4"/>
                          <pic:cNvPicPr>
                            <a:picLocks noChangeAspect="1"/>
                          </pic:cNvPicPr>
                        </pic:nvPicPr>
                        <pic:blipFill>
                          <a:blip r:embed="rId8"/>
                          <a:stretch>
                            <a:fillRect/>
                          </a:stretch>
                        </pic:blipFill>
                        <pic:spPr>
                          <a:xfrm>
                            <a:off x="0" y="0"/>
                            <a:ext cx="2816225" cy="2112010"/>
                          </a:xfrm>
                          <a:prstGeom prst="rect">
                            <a:avLst/>
                          </a:prstGeom>
                        </pic:spPr>
                      </pic:pic>
                    </a:graphicData>
                  </a:graphic>
                </wp:inline>
              </w:drawing>
            </w:r>
          </w:p>
        </w:tc>
        <w:tc>
          <w:tcPr>
            <w:tcW w:w="2497" w:type="pct"/>
            <w:tcBorders>
              <w:top w:val="single" w:color="auto" w:sz="4" w:space="0"/>
              <w:left w:val="single" w:color="auto" w:sz="4" w:space="0"/>
              <w:bottom w:val="single" w:color="auto" w:sz="4" w:space="0"/>
              <w:right w:val="single" w:color="auto" w:sz="4" w:space="0"/>
            </w:tcBorders>
            <w:vAlign w:val="center"/>
          </w:tcPr>
          <w:p w14:paraId="6CCE150D">
            <w:pPr>
              <w:rPr>
                <w:rFonts w:hint="eastAsia" w:ascii="仿宋" w:hAnsi="仿宋" w:eastAsia="仿宋" w:cs="Times New Roman"/>
                <w:kern w:val="0"/>
                <w:sz w:val="28"/>
                <w:szCs w:val="32"/>
                <w:lang w:eastAsia="zh-CN"/>
              </w:rPr>
            </w:pPr>
            <w:r>
              <w:rPr>
                <w:rFonts w:hint="eastAsia" w:ascii="仿宋" w:hAnsi="仿宋" w:eastAsia="仿宋" w:cs="Times New Roman"/>
                <w:kern w:val="0"/>
                <w:sz w:val="28"/>
                <w:szCs w:val="32"/>
                <w:lang w:eastAsia="zh-CN"/>
              </w:rPr>
              <w:drawing>
                <wp:inline distT="0" distB="0" distL="114300" distR="114300">
                  <wp:extent cx="2807335" cy="2096770"/>
                  <wp:effectExtent l="0" t="0" r="12065" b="17780"/>
                  <wp:docPr id="2" name="图片 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
                          <pic:cNvPicPr>
                            <a:picLocks noChangeAspect="1"/>
                          </pic:cNvPicPr>
                        </pic:nvPicPr>
                        <pic:blipFill>
                          <a:blip r:embed="rId9"/>
                          <a:stretch>
                            <a:fillRect/>
                          </a:stretch>
                        </pic:blipFill>
                        <pic:spPr>
                          <a:xfrm>
                            <a:off x="0" y="0"/>
                            <a:ext cx="2807335" cy="2096770"/>
                          </a:xfrm>
                          <a:prstGeom prst="rect">
                            <a:avLst/>
                          </a:prstGeom>
                        </pic:spPr>
                      </pic:pic>
                    </a:graphicData>
                  </a:graphic>
                </wp:inline>
              </w:drawing>
            </w:r>
          </w:p>
        </w:tc>
      </w:tr>
    </w:tbl>
    <w:p w14:paraId="22B02AFD">
      <w:pPr>
        <w:rPr>
          <w:rFonts w:hint="eastAsia" w:ascii="仿宋" w:hAnsi="仿宋" w:eastAsia="仿宋" w:cs="Times New Roman"/>
          <w:bCs/>
          <w:kern w:val="0"/>
          <w:sz w:val="28"/>
          <w:szCs w:val="32"/>
        </w:rPr>
      </w:pPr>
    </w:p>
    <w:tbl>
      <w:tblPr>
        <w:tblStyle w:val="13"/>
        <w:tblW w:w="5453"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1"/>
      </w:tblGrid>
      <w:tr w14:paraId="7CF47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single" w:color="auto" w:sz="4" w:space="0"/>
              <w:left w:val="single" w:color="auto" w:sz="4" w:space="0"/>
              <w:bottom w:val="single" w:color="auto" w:sz="4" w:space="0"/>
              <w:right w:val="single" w:color="auto" w:sz="4" w:space="0"/>
            </w:tcBorders>
            <w:vAlign w:val="center"/>
          </w:tcPr>
          <w:p w14:paraId="5BB9A501">
            <w:pPr>
              <w:rPr>
                <w:rFonts w:ascii="仿宋" w:hAnsi="仿宋" w:eastAsia="仿宋" w:cs="Times New Roman"/>
                <w:kern w:val="0"/>
                <w:sz w:val="28"/>
                <w:szCs w:val="32"/>
              </w:rPr>
            </w:pPr>
            <w:r>
              <w:rPr>
                <w:rFonts w:hint="eastAsia" w:ascii="仿宋" w:hAnsi="仿宋" w:eastAsia="仿宋" w:cs="Times New Roman"/>
                <w:kern w:val="0"/>
                <w:sz w:val="28"/>
                <w:szCs w:val="32"/>
                <w:lang w:val="en-US" w:eastAsia="zh-CN"/>
              </w:rPr>
              <w:t>2、</w:t>
            </w:r>
            <w:r>
              <w:rPr>
                <w:rFonts w:hint="eastAsia" w:ascii="仿宋_GB2312" w:hAnsi="仿宋" w:eastAsia="仿宋_GB2312" w:cs="仿宋"/>
                <w:b w:val="0"/>
                <w:bCs w:val="0"/>
                <w:color w:val="000000"/>
                <w:sz w:val="28"/>
                <w:szCs w:val="28"/>
              </w:rPr>
              <w:t>广东省徐闻县徐闻镇城东小区</w:t>
            </w:r>
            <w:r>
              <w:rPr>
                <w:rFonts w:hint="eastAsia" w:ascii="仿宋_GB2312" w:hAnsi="仿宋" w:eastAsia="仿宋_GB2312" w:cs="仿宋"/>
                <w:color w:val="000000"/>
                <w:sz w:val="28"/>
                <w:szCs w:val="28"/>
                <w:lang w:eastAsia="zh-CN"/>
              </w:rPr>
              <w:t>【</w:t>
            </w:r>
            <w:r>
              <w:rPr>
                <w:rFonts w:hint="eastAsia" w:ascii="仿宋_GB2312" w:hAnsi="仿宋" w:eastAsia="仿宋_GB2312" w:cs="仿宋"/>
                <w:b w:val="0"/>
                <w:bCs w:val="0"/>
                <w:color w:val="000000"/>
                <w:sz w:val="28"/>
                <w:szCs w:val="28"/>
                <w:lang w:eastAsia="zh-CN"/>
              </w:rPr>
              <w:t>土地自用面积为242</w:t>
            </w:r>
            <w:r>
              <w:rPr>
                <w:rFonts w:hint="eastAsia" w:ascii="仿宋_GB2312" w:hAnsi="仿宋" w:eastAsia="仿宋_GB2312" w:cs="仿宋"/>
                <w:color w:val="000000"/>
                <w:sz w:val="28"/>
                <w:szCs w:val="28"/>
                <w:lang w:eastAsia="zh-CN"/>
              </w:rPr>
              <w:t>㎡</w:t>
            </w:r>
            <w:r>
              <w:rPr>
                <w:rFonts w:hint="eastAsia" w:ascii="仿宋_GB2312" w:hAnsi="仿宋" w:eastAsia="仿宋_GB2312" w:cs="仿宋"/>
                <w:b w:val="0"/>
                <w:bCs w:val="0"/>
                <w:color w:val="000000"/>
                <w:sz w:val="28"/>
                <w:szCs w:val="28"/>
                <w:lang w:eastAsia="zh-CN"/>
              </w:rPr>
              <w:t>，建筑面积为357.51</w:t>
            </w:r>
            <w:r>
              <w:rPr>
                <w:rFonts w:hint="eastAsia" w:ascii="仿宋_GB2312" w:hAnsi="仿宋" w:eastAsia="仿宋_GB2312" w:cs="仿宋"/>
                <w:color w:val="000000"/>
                <w:sz w:val="28"/>
                <w:szCs w:val="28"/>
                <w:lang w:eastAsia="zh-CN"/>
              </w:rPr>
              <w:t>㎡】</w:t>
            </w:r>
          </w:p>
        </w:tc>
      </w:tr>
      <w:tr w14:paraId="4E15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single" w:color="auto" w:sz="4" w:space="0"/>
              <w:left w:val="single" w:color="auto" w:sz="4" w:space="0"/>
              <w:bottom w:val="single" w:color="auto" w:sz="4" w:space="0"/>
              <w:right w:val="single" w:color="auto" w:sz="4" w:space="0"/>
            </w:tcBorders>
            <w:vAlign w:val="center"/>
          </w:tcPr>
          <w:p w14:paraId="75310055">
            <w:pPr>
              <w:rPr>
                <w:rFonts w:hint="eastAsia" w:ascii="仿宋" w:hAnsi="仿宋" w:eastAsia="仿宋" w:cs="Times New Roman"/>
                <w:kern w:val="0"/>
                <w:sz w:val="28"/>
                <w:szCs w:val="32"/>
              </w:rPr>
            </w:pPr>
            <w:r>
              <w:rPr>
                <w:rFonts w:hint="eastAsia" w:ascii="仿宋" w:hAnsi="仿宋" w:eastAsia="仿宋" w:cs="仿宋"/>
                <w:kern w:val="0"/>
                <w:sz w:val="20"/>
                <w:szCs w:val="20"/>
                <w:highlight w:val="none"/>
              </w:rPr>
              <w:drawing>
                <wp:anchor distT="0" distB="0" distL="114300" distR="114300" simplePos="0" relativeHeight="251660288" behindDoc="0" locked="0" layoutInCell="1" allowOverlap="1">
                  <wp:simplePos x="0" y="0"/>
                  <wp:positionH relativeFrom="column">
                    <wp:posOffset>4705350</wp:posOffset>
                  </wp:positionH>
                  <wp:positionV relativeFrom="paragraph">
                    <wp:posOffset>1041400</wp:posOffset>
                  </wp:positionV>
                  <wp:extent cx="233045" cy="225425"/>
                  <wp:effectExtent l="0" t="0" r="14605" b="317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33045" cy="225425"/>
                          </a:xfrm>
                          <a:prstGeom prst="rect">
                            <a:avLst/>
                          </a:prstGeom>
                          <a:noFill/>
                        </pic:spPr>
                      </pic:pic>
                    </a:graphicData>
                  </a:graphic>
                </wp:anchor>
              </w:drawing>
            </w:r>
            <w:r>
              <w:rPr>
                <w:rFonts w:hint="eastAsia" w:ascii="仿宋" w:hAnsi="仿宋" w:eastAsia="仿宋"/>
                <w:sz w:val="32"/>
                <w:szCs w:val="32"/>
                <w:highlight w:val="none"/>
                <w:lang w:val="en-US" w:eastAsia="zh-CN"/>
              </w:rPr>
              <w:t xml:space="preserve">   </w:t>
            </w:r>
            <w:r>
              <w:rPr>
                <w:rFonts w:ascii="Times New Roman" w:hAnsi="Times New Roman" w:eastAsia="仿宋_GB2312" w:cs="Times New Roman"/>
                <w:kern w:val="0"/>
                <w:sz w:val="32"/>
                <w:szCs w:val="32"/>
              </w:rPr>
              <w:drawing>
                <wp:inline distT="0" distB="0" distL="0" distR="0">
                  <wp:extent cx="5316220" cy="2564765"/>
                  <wp:effectExtent l="0" t="0" r="17780" b="698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noChangeArrowheads="1"/>
                          </pic:cNvPicPr>
                        </pic:nvPicPr>
                        <pic:blipFill>
                          <a:blip r:embed="rId11" cstate="screen"/>
                          <a:srcRect/>
                          <a:stretch>
                            <a:fillRect/>
                          </a:stretch>
                        </pic:blipFill>
                        <pic:spPr>
                          <a:xfrm>
                            <a:off x="0" y="0"/>
                            <a:ext cx="5316220" cy="2564765"/>
                          </a:xfrm>
                          <a:prstGeom prst="rect">
                            <a:avLst/>
                          </a:prstGeom>
                          <a:noFill/>
                          <a:ln>
                            <a:noFill/>
                          </a:ln>
                        </pic:spPr>
                      </pic:pic>
                    </a:graphicData>
                  </a:graphic>
                </wp:inline>
              </w:drawing>
            </w:r>
          </w:p>
        </w:tc>
      </w:tr>
      <w:tr w14:paraId="5A0E9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single" w:color="auto" w:sz="4" w:space="0"/>
              <w:left w:val="single" w:color="auto" w:sz="4" w:space="0"/>
              <w:bottom w:val="single" w:color="auto" w:sz="4" w:space="0"/>
              <w:right w:val="single" w:color="auto" w:sz="4" w:space="0"/>
            </w:tcBorders>
            <w:vAlign w:val="center"/>
          </w:tcPr>
          <w:p w14:paraId="0639BA90">
            <w:pPr>
              <w:rPr>
                <w:rFonts w:hint="eastAsia" w:ascii="仿宋" w:hAnsi="仿宋" w:eastAsia="仿宋" w:cs="Times New Roman"/>
                <w:kern w:val="0"/>
                <w:sz w:val="28"/>
                <w:szCs w:val="32"/>
              </w:rPr>
            </w:pPr>
            <w:r>
              <w:rPr>
                <w:rFonts w:hint="eastAsia" w:ascii="仿宋" w:hAnsi="仿宋" w:eastAsia="仿宋" w:cs="仿宋"/>
                <w:kern w:val="0"/>
                <w:sz w:val="20"/>
                <w:szCs w:val="20"/>
                <w:highlight w:val="none"/>
              </w:rPr>
              <w:drawing>
                <wp:anchor distT="0" distB="0" distL="114300" distR="114300" simplePos="0" relativeHeight="251659264" behindDoc="0" locked="0" layoutInCell="1" allowOverlap="1">
                  <wp:simplePos x="0" y="0"/>
                  <wp:positionH relativeFrom="column">
                    <wp:posOffset>3714750</wp:posOffset>
                  </wp:positionH>
                  <wp:positionV relativeFrom="paragraph">
                    <wp:posOffset>1328420</wp:posOffset>
                  </wp:positionV>
                  <wp:extent cx="233045" cy="225425"/>
                  <wp:effectExtent l="0" t="0" r="14605" b="3175"/>
                  <wp:wrapNone/>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33045" cy="225425"/>
                          </a:xfrm>
                          <a:prstGeom prst="rect">
                            <a:avLst/>
                          </a:prstGeom>
                          <a:noFill/>
                        </pic:spPr>
                      </pic:pic>
                    </a:graphicData>
                  </a:graphic>
                </wp:anchor>
              </w:drawing>
            </w:r>
            <w:r>
              <w:rPr>
                <w:rFonts w:hint="eastAsia" w:ascii="仿宋" w:hAnsi="仿宋" w:eastAsia="仿宋"/>
                <w:sz w:val="32"/>
                <w:szCs w:val="32"/>
                <w:highlight w:val="none"/>
                <w:lang w:val="en-US" w:eastAsia="zh-CN"/>
              </w:rPr>
              <w:t xml:space="preserve">   </w:t>
            </w:r>
            <w:r>
              <w:rPr>
                <w:rFonts w:hint="eastAsia" w:ascii="仿宋" w:hAnsi="仿宋" w:eastAsia="仿宋" w:cs="仿宋"/>
                <w:kern w:val="0"/>
                <w:sz w:val="32"/>
                <w:szCs w:val="32"/>
                <w:highlight w:val="none"/>
                <w:lang w:eastAsia="zh-CN"/>
              </w:rPr>
              <w:drawing>
                <wp:inline distT="0" distB="0" distL="114300" distR="114300">
                  <wp:extent cx="5272405" cy="2485390"/>
                  <wp:effectExtent l="0" t="0" r="4445" b="10160"/>
                  <wp:docPr id="12" name="图片 12" descr="1752804798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752804798010"/>
                          <pic:cNvPicPr>
                            <a:picLocks noChangeAspect="1"/>
                          </pic:cNvPicPr>
                        </pic:nvPicPr>
                        <pic:blipFill>
                          <a:blip r:embed="rId12"/>
                          <a:stretch>
                            <a:fillRect/>
                          </a:stretch>
                        </pic:blipFill>
                        <pic:spPr>
                          <a:xfrm>
                            <a:off x="0" y="0"/>
                            <a:ext cx="5272405" cy="2485390"/>
                          </a:xfrm>
                          <a:prstGeom prst="rect">
                            <a:avLst/>
                          </a:prstGeom>
                        </pic:spPr>
                      </pic:pic>
                    </a:graphicData>
                  </a:graphic>
                </wp:inline>
              </w:drawing>
            </w:r>
          </w:p>
        </w:tc>
      </w:tr>
      <w:tr w14:paraId="38023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single" w:color="auto" w:sz="4" w:space="0"/>
              <w:left w:val="single" w:color="auto" w:sz="4" w:space="0"/>
              <w:bottom w:val="single" w:color="auto" w:sz="4" w:space="0"/>
              <w:right w:val="single" w:color="auto" w:sz="4" w:space="0"/>
            </w:tcBorders>
            <w:vAlign w:val="center"/>
          </w:tcPr>
          <w:p w14:paraId="5952AF26">
            <w:pPr>
              <w:rPr>
                <w:rFonts w:hint="eastAsia" w:ascii="仿宋" w:hAnsi="仿宋" w:eastAsia="仿宋" w:cs="Times New Roman"/>
                <w:kern w:val="0"/>
                <w:sz w:val="28"/>
                <w:szCs w:val="32"/>
              </w:rPr>
            </w:pPr>
            <w:r>
              <w:rPr>
                <w:rFonts w:hint="eastAsia" w:ascii="仿宋" w:hAnsi="仿宋"/>
                <w:kern w:val="0"/>
                <w:lang w:val="en-US" w:eastAsia="zh-CN"/>
              </w:rPr>
              <w:t xml:space="preserve">    </w:t>
            </w:r>
            <w:r>
              <w:rPr>
                <w:rFonts w:ascii="仿宋" w:hAnsi="仿宋"/>
                <w:kern w:val="0"/>
              </w:rPr>
              <w:drawing>
                <wp:inline distT="0" distB="0" distL="0" distR="0">
                  <wp:extent cx="5292725" cy="2820035"/>
                  <wp:effectExtent l="0" t="0" r="3175" b="184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3" cstate="screen"/>
                          <a:stretch>
                            <a:fillRect/>
                          </a:stretch>
                        </pic:blipFill>
                        <pic:spPr>
                          <a:xfrm>
                            <a:off x="0" y="0"/>
                            <a:ext cx="5292725" cy="2820035"/>
                          </a:xfrm>
                          <a:prstGeom prst="rect">
                            <a:avLst/>
                          </a:prstGeom>
                        </pic:spPr>
                      </pic:pic>
                    </a:graphicData>
                  </a:graphic>
                </wp:inline>
              </w:drawing>
            </w:r>
          </w:p>
        </w:tc>
      </w:tr>
    </w:tbl>
    <w:p w14:paraId="536A9E45">
      <w:pPr>
        <w:rPr>
          <w:rFonts w:hint="eastAsia" w:ascii="仿宋" w:hAnsi="仿宋" w:eastAsia="仿宋" w:cs="Times New Roman"/>
          <w:bCs/>
          <w:kern w:val="0"/>
          <w:sz w:val="28"/>
          <w:szCs w:val="32"/>
        </w:rPr>
      </w:pPr>
    </w:p>
    <w:p w14:paraId="2F815000">
      <w:pPr>
        <w:pStyle w:val="10"/>
        <w:widowControl/>
        <w:spacing w:line="360" w:lineRule="atLeast"/>
        <w:ind w:firstLine="703"/>
        <w:rPr>
          <w:rFonts w:hint="eastAsia" w:ascii="仿宋_GB2312" w:hAnsi="仿宋" w:eastAsia="仿宋_GB2312" w:cs="仿宋"/>
          <w:sz w:val="28"/>
          <w:szCs w:val="28"/>
        </w:rPr>
      </w:pPr>
      <w:r>
        <w:rPr>
          <w:rFonts w:hint="eastAsia" w:ascii="仿宋_GB2312" w:hAnsi="仿宋" w:eastAsia="仿宋_GB2312" w:cs="仿宋"/>
          <w:b/>
          <w:bCs/>
          <w:color w:val="000000"/>
          <w:sz w:val="28"/>
          <w:szCs w:val="28"/>
        </w:rPr>
        <w:t>注：</w:t>
      </w:r>
      <w:r>
        <w:rPr>
          <w:rFonts w:hint="eastAsia" w:ascii="仿宋_GB2312" w:hAnsi="仿宋" w:eastAsia="仿宋_GB2312" w:cs="仿宋"/>
          <w:color w:val="000000"/>
          <w:sz w:val="28"/>
          <w:szCs w:val="28"/>
        </w:rPr>
        <w:t>1.本清单仅列示截至【</w:t>
      </w:r>
      <w:r>
        <w:rPr>
          <w:rFonts w:hint="eastAsia" w:ascii="仿宋_GB2312" w:hAnsi="仿宋" w:eastAsia="仿宋_GB2312" w:cs="仿宋"/>
          <w:color w:val="000000"/>
          <w:sz w:val="28"/>
          <w:szCs w:val="28"/>
          <w:lang w:val="en-US" w:eastAsia="zh-CN"/>
        </w:rPr>
        <w:t>2025</w:t>
      </w:r>
      <w:r>
        <w:rPr>
          <w:rFonts w:hint="eastAsia" w:ascii="仿宋_GB2312" w:hAnsi="仿宋" w:eastAsia="仿宋_GB2312" w:cs="仿宋"/>
          <w:color w:val="000000"/>
          <w:sz w:val="28"/>
          <w:szCs w:val="28"/>
        </w:rPr>
        <w:t>】年【</w:t>
      </w:r>
      <w:r>
        <w:rPr>
          <w:rFonts w:hint="eastAsia" w:ascii="仿宋_GB2312" w:hAnsi="仿宋" w:eastAsia="仿宋_GB2312" w:cs="仿宋"/>
          <w:color w:val="000000"/>
          <w:sz w:val="28"/>
          <w:szCs w:val="28"/>
          <w:lang w:val="en-US" w:eastAsia="zh-CN"/>
        </w:rPr>
        <w:t>7</w:t>
      </w:r>
      <w:r>
        <w:rPr>
          <w:rFonts w:hint="eastAsia" w:ascii="仿宋_GB2312" w:hAnsi="仿宋" w:eastAsia="仿宋_GB2312" w:cs="仿宋"/>
          <w:color w:val="000000"/>
          <w:sz w:val="28"/>
          <w:szCs w:val="28"/>
        </w:rPr>
        <w:t>】月【</w:t>
      </w:r>
      <w:r>
        <w:rPr>
          <w:rFonts w:hint="eastAsia" w:ascii="仿宋_GB2312" w:hAnsi="仿宋" w:eastAsia="仿宋_GB2312" w:cs="仿宋"/>
          <w:color w:val="000000"/>
          <w:sz w:val="28"/>
          <w:szCs w:val="28"/>
          <w:lang w:val="en-US" w:eastAsia="zh-CN"/>
        </w:rPr>
        <w:t>15</w:t>
      </w:r>
      <w:r>
        <w:rPr>
          <w:rFonts w:hint="eastAsia" w:ascii="仿宋_GB2312" w:hAnsi="仿宋" w:eastAsia="仿宋_GB2312" w:cs="仿宋"/>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pPr>
        <w:pStyle w:val="10"/>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2.若债务人、担保人因各种原因更名、改制、歇业、吊销营业执照或丧失民事主体资格的，请相关承债主体或主管部门代为履行义务或履行清算责任；</w:t>
      </w:r>
    </w:p>
    <w:p w14:paraId="49136C65">
      <w:pPr>
        <w:pStyle w:val="10"/>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3.以上内容如有错漏，以债务人、担保人等原已签署的交易合同</w:t>
      </w:r>
      <w:r>
        <w:rPr>
          <w:rFonts w:hint="eastAsia" w:ascii="仿宋" w:hAnsi="仿宋" w:cs="仿宋"/>
          <w:sz w:val="28"/>
          <w:szCs w:val="28"/>
          <w:shd w:val="clear" w:color="auto" w:fill="FFFFFF"/>
          <w:lang w:bidi="ar"/>
        </w:rPr>
        <w:t>及/或生效法律文书等相关法律文件</w:t>
      </w:r>
      <w:r>
        <w:rPr>
          <w:rFonts w:hint="eastAsia" w:ascii="仿宋_GB2312" w:hAnsi="仿宋" w:eastAsia="仿宋_GB2312" w:cs="仿宋"/>
          <w:color w:val="000000"/>
          <w:sz w:val="28"/>
          <w:szCs w:val="28"/>
        </w:rPr>
        <w:t>为准；</w:t>
      </w:r>
    </w:p>
    <w:p w14:paraId="46D68A38">
      <w:pPr>
        <w:pStyle w:val="10"/>
        <w:widowControl/>
        <w:spacing w:line="360" w:lineRule="atLeast"/>
        <w:rPr>
          <w:rFonts w:hint="eastAsia" w:ascii="仿宋" w:hAnsi="仿宋" w:eastAsia="仿宋" w:cs="Times New Roman"/>
          <w:bCs/>
          <w:kern w:val="0"/>
          <w:sz w:val="28"/>
          <w:szCs w:val="32"/>
        </w:rPr>
      </w:pPr>
      <w:r>
        <w:rPr>
          <w:rFonts w:hint="eastAsia" w:ascii="仿宋_GB2312" w:hAnsi="仿宋" w:eastAsia="仿宋_GB2312" w:cs="仿宋"/>
          <w:color w:val="000000"/>
          <w:sz w:val="28"/>
          <w:szCs w:val="28"/>
        </w:rPr>
        <w:t>4.</w:t>
      </w:r>
      <w:r>
        <w:rPr>
          <w:rFonts w:hint="eastAsia" w:ascii="仿宋_GB2312" w:hAnsi="仿宋" w:eastAsia="仿宋_GB2312" w:cs="仿宋"/>
          <w:color w:val="2B2B2B"/>
          <w:sz w:val="28"/>
          <w:szCs w:val="28"/>
          <w:shd w:val="clear" w:color="auto" w:fill="FFFFFF"/>
        </w:rPr>
        <w:t>资产介绍及照片内容仅供参考,我司不对其承担任何法律责任。</w:t>
      </w: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04B862AB"/>
    <w:rsid w:val="04D035F5"/>
    <w:rsid w:val="0B5674F3"/>
    <w:rsid w:val="1E86175E"/>
    <w:rsid w:val="219019D3"/>
    <w:rsid w:val="241F519A"/>
    <w:rsid w:val="2EB422FE"/>
    <w:rsid w:val="312014F1"/>
    <w:rsid w:val="31E07595"/>
    <w:rsid w:val="3C377FE9"/>
    <w:rsid w:val="3CF610C5"/>
    <w:rsid w:val="4663778E"/>
    <w:rsid w:val="4A8B6A4D"/>
    <w:rsid w:val="4CD17A02"/>
    <w:rsid w:val="4D645BBB"/>
    <w:rsid w:val="4E135126"/>
    <w:rsid w:val="4F2A5268"/>
    <w:rsid w:val="53162A7A"/>
    <w:rsid w:val="5352565D"/>
    <w:rsid w:val="58027A7A"/>
    <w:rsid w:val="5BAA0990"/>
    <w:rsid w:val="5DAA62F8"/>
    <w:rsid w:val="5EAC0136"/>
    <w:rsid w:val="62B86871"/>
    <w:rsid w:val="66B370FA"/>
    <w:rsid w:val="74AF129E"/>
    <w:rsid w:val="79C77851"/>
    <w:rsid w:val="7E332C21"/>
    <w:rsid w:val="7E8D2010"/>
    <w:rsid w:val="7F520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25"/>
    <w:unhideWhenUsed/>
    <w:qFormat/>
    <w:uiPriority w:val="0"/>
    <w:pPr>
      <w:keepNext/>
      <w:keepLines/>
      <w:spacing w:before="260" w:after="260" w:line="413" w:lineRule="auto"/>
      <w:outlineLvl w:val="1"/>
    </w:pPr>
    <w:rPr>
      <w:rFonts w:ascii="Arial" w:hAnsi="Arial" w:eastAsia="黑体" w:cs="Times New Roman"/>
      <w:b/>
      <w:sz w:val="32"/>
      <w:szCs w:val="24"/>
    </w:rPr>
  </w:style>
  <w:style w:type="paragraph" w:styleId="4">
    <w:name w:val="heading 3"/>
    <w:basedOn w:val="1"/>
    <w:next w:val="1"/>
    <w:link w:val="26"/>
    <w:unhideWhenUsed/>
    <w:qFormat/>
    <w:uiPriority w:val="0"/>
    <w:pPr>
      <w:keepNext/>
      <w:keepLines/>
      <w:spacing w:before="260" w:after="260" w:line="413" w:lineRule="auto"/>
      <w:outlineLvl w:val="2"/>
    </w:pPr>
    <w:rPr>
      <w:rFonts w:ascii="Times New Roman" w:hAnsi="Times New Roman" w:eastAsia="宋体" w:cs="Times New Roman"/>
      <w:b/>
      <w:sz w:val="32"/>
      <w:szCs w:val="24"/>
    </w:rPr>
  </w:style>
  <w:style w:type="paragraph" w:styleId="5">
    <w:name w:val="heading 4"/>
    <w:basedOn w:val="1"/>
    <w:next w:val="1"/>
    <w:link w:val="2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1"/>
    <w:unhideWhenUsed/>
    <w:qFormat/>
    <w:uiPriority w:val="0"/>
    <w:pPr>
      <w:jc w:val="left"/>
    </w:pPr>
  </w:style>
  <w:style w:type="paragraph" w:styleId="7">
    <w:name w:val="Balloon Text"/>
    <w:basedOn w:val="1"/>
    <w:link w:val="23"/>
    <w:unhideWhenUsed/>
    <w:qFormat/>
    <w:uiPriority w:val="0"/>
    <w:rPr>
      <w:sz w:val="18"/>
      <w:szCs w:val="18"/>
    </w:rPr>
  </w:style>
  <w:style w:type="paragraph" w:styleId="8">
    <w:name w:val="footer"/>
    <w:basedOn w:val="1"/>
    <w:link w:val="19"/>
    <w:unhideWhenUsed/>
    <w:qFormat/>
    <w:uiPriority w:val="0"/>
    <w:pPr>
      <w:tabs>
        <w:tab w:val="center" w:pos="4153"/>
        <w:tab w:val="right" w:pos="8306"/>
      </w:tabs>
      <w:snapToGrid w:val="0"/>
      <w:jc w:val="left"/>
    </w:pPr>
    <w:rPr>
      <w:sz w:val="18"/>
      <w:szCs w:val="18"/>
    </w:rPr>
  </w:style>
  <w:style w:type="paragraph" w:styleId="9">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0"/>
    <w:pPr>
      <w:spacing w:line="360" w:lineRule="auto"/>
      <w:ind w:firstLine="700" w:firstLineChars="250"/>
    </w:pPr>
    <w:rPr>
      <w:rFonts w:ascii="Times New Roman" w:hAnsi="Times New Roman" w:eastAsia="仿宋" w:cs="Times New Roman"/>
      <w:sz w:val="24"/>
      <w:szCs w:val="24"/>
    </w:rPr>
  </w:style>
  <w:style w:type="paragraph" w:styleId="11">
    <w:name w:val="annotation subject"/>
    <w:basedOn w:val="6"/>
    <w:next w:val="6"/>
    <w:link w:val="22"/>
    <w:unhideWhenUsed/>
    <w:qFormat/>
    <w:uiPriority w:val="0"/>
    <w:rPr>
      <w:b/>
      <w:bCs/>
    </w:rPr>
  </w:style>
  <w:style w:type="table" w:styleId="13">
    <w:name w:val="Table Grid"/>
    <w:basedOn w:val="12"/>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basedOn w:val="14"/>
    <w:semiHidden/>
    <w:unhideWhenUsed/>
    <w:qFormat/>
    <w:uiPriority w:val="99"/>
    <w:rPr>
      <w:color w:val="800080"/>
      <w:u w:val="single"/>
    </w:rPr>
  </w:style>
  <w:style w:type="character" w:styleId="16">
    <w:name w:val="Hyperlink"/>
    <w:basedOn w:val="14"/>
    <w:semiHidden/>
    <w:unhideWhenUsed/>
    <w:qFormat/>
    <w:uiPriority w:val="99"/>
    <w:rPr>
      <w:color w:val="0000FF"/>
      <w:u w:val="single"/>
    </w:rPr>
  </w:style>
  <w:style w:type="character" w:styleId="17">
    <w:name w:val="annotation reference"/>
    <w:basedOn w:val="14"/>
    <w:unhideWhenUsed/>
    <w:qFormat/>
    <w:uiPriority w:val="0"/>
    <w:rPr>
      <w:sz w:val="21"/>
      <w:szCs w:val="21"/>
    </w:rPr>
  </w:style>
  <w:style w:type="character" w:customStyle="1" w:styleId="18">
    <w:name w:val="页眉 字符"/>
    <w:basedOn w:val="14"/>
    <w:link w:val="9"/>
    <w:qFormat/>
    <w:uiPriority w:val="99"/>
    <w:rPr>
      <w:sz w:val="18"/>
      <w:szCs w:val="18"/>
    </w:rPr>
  </w:style>
  <w:style w:type="character" w:customStyle="1" w:styleId="19">
    <w:name w:val="页脚 字符"/>
    <w:basedOn w:val="14"/>
    <w:link w:val="8"/>
    <w:qFormat/>
    <w:uiPriority w:val="99"/>
    <w:rPr>
      <w:sz w:val="18"/>
      <w:szCs w:val="18"/>
    </w:rPr>
  </w:style>
  <w:style w:type="paragraph" w:styleId="20">
    <w:name w:val="List Paragraph"/>
    <w:basedOn w:val="1"/>
    <w:qFormat/>
    <w:uiPriority w:val="34"/>
    <w:pPr>
      <w:spacing w:line="360" w:lineRule="auto"/>
      <w:ind w:firstLine="420" w:firstLineChars="200"/>
    </w:pPr>
    <w:rPr>
      <w:rFonts w:ascii="仿宋" w:hAnsi="仿宋" w:eastAsia="仿宋" w:cs="Times New Roman"/>
      <w:sz w:val="28"/>
      <w:szCs w:val="28"/>
    </w:rPr>
  </w:style>
  <w:style w:type="character" w:customStyle="1" w:styleId="21">
    <w:name w:val="批注文字 字符"/>
    <w:basedOn w:val="14"/>
    <w:link w:val="6"/>
    <w:qFormat/>
    <w:uiPriority w:val="0"/>
  </w:style>
  <w:style w:type="character" w:customStyle="1" w:styleId="22">
    <w:name w:val="批注主题 字符"/>
    <w:basedOn w:val="21"/>
    <w:link w:val="11"/>
    <w:qFormat/>
    <w:uiPriority w:val="0"/>
    <w:rPr>
      <w:b/>
      <w:bCs/>
    </w:rPr>
  </w:style>
  <w:style w:type="character" w:customStyle="1" w:styleId="23">
    <w:name w:val="批注框文本 字符"/>
    <w:basedOn w:val="14"/>
    <w:link w:val="7"/>
    <w:qFormat/>
    <w:uiPriority w:val="0"/>
    <w:rPr>
      <w:sz w:val="18"/>
      <w:szCs w:val="18"/>
    </w:rPr>
  </w:style>
  <w:style w:type="character" w:customStyle="1" w:styleId="24">
    <w:name w:val="标题 1 字符"/>
    <w:basedOn w:val="14"/>
    <w:link w:val="2"/>
    <w:qFormat/>
    <w:uiPriority w:val="0"/>
    <w:rPr>
      <w:rFonts w:ascii="Times New Roman" w:hAnsi="Times New Roman" w:eastAsia="宋体" w:cs="Times New Roman"/>
      <w:b/>
      <w:bCs/>
      <w:kern w:val="44"/>
      <w:sz w:val="44"/>
      <w:szCs w:val="44"/>
    </w:rPr>
  </w:style>
  <w:style w:type="character" w:customStyle="1" w:styleId="25">
    <w:name w:val="标题 2 字符"/>
    <w:basedOn w:val="14"/>
    <w:link w:val="3"/>
    <w:qFormat/>
    <w:uiPriority w:val="0"/>
    <w:rPr>
      <w:rFonts w:ascii="Arial" w:hAnsi="Arial" w:eastAsia="黑体" w:cs="Times New Roman"/>
      <w:b/>
      <w:kern w:val="2"/>
      <w:sz w:val="32"/>
      <w:szCs w:val="24"/>
    </w:rPr>
  </w:style>
  <w:style w:type="character" w:customStyle="1" w:styleId="26">
    <w:name w:val="标题 3 字符"/>
    <w:basedOn w:val="14"/>
    <w:link w:val="4"/>
    <w:qFormat/>
    <w:uiPriority w:val="0"/>
    <w:rPr>
      <w:rFonts w:ascii="Times New Roman" w:hAnsi="Times New Roman" w:eastAsia="宋体" w:cs="Times New Roman"/>
      <w:b/>
      <w:kern w:val="2"/>
      <w:sz w:val="32"/>
      <w:szCs w:val="24"/>
    </w:rPr>
  </w:style>
  <w:style w:type="character" w:customStyle="1" w:styleId="27">
    <w:name w:val="标题 4 字符"/>
    <w:basedOn w:val="14"/>
    <w:link w:val="5"/>
    <w:semiHidden/>
    <w:qFormat/>
    <w:uiPriority w:val="9"/>
    <w:rPr>
      <w:rFonts w:asciiTheme="majorHAnsi" w:hAnsiTheme="majorHAnsi" w:eastAsiaTheme="majorEastAsia" w:cstheme="majorBidi"/>
      <w:b/>
      <w:bCs/>
      <w:kern w:val="2"/>
      <w:sz w:val="28"/>
      <w:szCs w:val="28"/>
    </w:rPr>
  </w:style>
  <w:style w:type="table" w:customStyle="1" w:styleId="28">
    <w:name w:val="网格型6"/>
    <w:basedOn w:val="12"/>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网格型61"/>
    <w:basedOn w:val="12"/>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2">
    <w:name w:val="xl68"/>
    <w:basedOn w:val="1"/>
    <w:qFormat/>
    <w:uiPriority w:val="0"/>
    <w:pPr>
      <w:widowControl/>
      <w:spacing w:before="100" w:beforeAutospacing="1" w:after="100" w:afterAutospacing="1"/>
      <w:jc w:val="left"/>
    </w:pPr>
    <w:rPr>
      <w:rFonts w:ascii="仿宋" w:hAnsi="仿宋" w:eastAsia="仿宋" w:cs="宋体"/>
      <w:kern w:val="0"/>
      <w:sz w:val="18"/>
      <w:szCs w:val="18"/>
    </w:rPr>
  </w:style>
  <w:style w:type="paragraph" w:customStyle="1" w:styleId="33">
    <w:name w:val="xl69"/>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4">
    <w:name w:val="xl70"/>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5">
    <w:name w:val="xl71"/>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18"/>
      <w:szCs w:val="18"/>
    </w:rPr>
  </w:style>
  <w:style w:type="paragraph" w:customStyle="1" w:styleId="3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18"/>
      <w:szCs w:val="18"/>
    </w:rPr>
  </w:style>
  <w:style w:type="paragraph" w:customStyle="1" w:styleId="3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18"/>
      <w:szCs w:val="18"/>
    </w:rPr>
  </w:style>
  <w:style w:type="paragraph" w:customStyle="1" w:styleId="3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8"/>
      <w:szCs w:val="28"/>
    </w:rPr>
  </w:style>
  <w:style w:type="paragraph" w:customStyle="1" w:styleId="4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8"/>
      <w:szCs w:val="28"/>
    </w:rPr>
  </w:style>
  <w:style w:type="paragraph" w:customStyle="1" w:styleId="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宋体"/>
      <w:kern w:val="0"/>
      <w:sz w:val="18"/>
      <w:szCs w:val="18"/>
    </w:rPr>
  </w:style>
  <w:style w:type="paragraph" w:customStyle="1" w:styleId="4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宋体"/>
      <w:kern w:val="0"/>
      <w:sz w:val="18"/>
      <w:szCs w:val="18"/>
    </w:rPr>
  </w:style>
  <w:style w:type="table" w:customStyle="1" w:styleId="43">
    <w:name w:val="Grid Table Light"/>
    <w:basedOn w:val="12"/>
    <w:qFormat/>
    <w:uiPriority w:val="40"/>
    <w:rPr>
      <w:kern w:val="2"/>
      <w:sz w:val="21"/>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44">
    <w:name w:val="正文正文"/>
    <w:basedOn w:val="1"/>
    <w:link w:val="45"/>
    <w:autoRedefine/>
    <w:qFormat/>
    <w:uiPriority w:val="0"/>
    <w:pPr>
      <w:jc w:val="left"/>
    </w:pPr>
    <w:rPr>
      <w:rFonts w:ascii="仿宋_GB2312" w:hAnsi="Times New Roman" w:eastAsia="仿宋_GB2312" w:cs="Times New Roman"/>
      <w:kern w:val="0"/>
      <w:szCs w:val="21"/>
    </w:rPr>
  </w:style>
  <w:style w:type="character" w:customStyle="1" w:styleId="45">
    <w:name w:val="正文正文 字符"/>
    <w:basedOn w:val="14"/>
    <w:link w:val="44"/>
    <w:qFormat/>
    <w:uiPriority w:val="0"/>
    <w:rPr>
      <w:rFonts w:ascii="仿宋_GB2312" w:hAnsi="Times New Roman" w:eastAsia="仿宋_GB2312" w:cs="Times New Roman"/>
      <w:sz w:val="21"/>
      <w:szCs w:val="21"/>
    </w:rPr>
  </w:style>
  <w:style w:type="table" w:customStyle="1" w:styleId="46">
    <w:name w:val="网格型浅色1"/>
    <w:basedOn w:val="12"/>
    <w:qFormat/>
    <w:uiPriority w:val="40"/>
    <w:rPr>
      <w:rFonts w:ascii="Times New Roman" w:hAnsi="Times New Roman" w:eastAsia="宋体" w:cs="Times New Roman"/>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6ADF4-0940-491A-801C-24EE4B1BA3E8}">
  <ds:schemaRefs/>
</ds:datastoreItem>
</file>

<file path=docProps/app.xml><?xml version="1.0" encoding="utf-8"?>
<Properties xmlns="http://schemas.openxmlformats.org/officeDocument/2006/extended-properties" xmlns:vt="http://schemas.openxmlformats.org/officeDocument/2006/docPropsVTypes">
  <Template>Normal</Template>
  <Pages>6</Pages>
  <Words>1322</Words>
  <Characters>1539</Characters>
  <Lines>7</Lines>
  <Paragraphs>2</Paragraphs>
  <TotalTime>2</TotalTime>
  <ScaleCrop>false</ScaleCrop>
  <LinksUpToDate>false</LinksUpToDate>
  <CharactersWithSpaces>1555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2024-12-04T06:39:00Z</dcterms:created>
  <dc:creator>黄月琴</dc:creator>
  <cp:lastModifiedBy>Zhl</cp:lastModifiedBy>
  <cp:lastPrinted>2025-02-11T09:23:00Z</cp:lastPrinted>
  <dcterms:modified xsi:type="dcterms:W3CDTF">2025-09-08T09:03:39Z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742C725D436B4B439FC9D3F1A93B355E</vt:lpwstr>
  </property>
  <property fmtid="{D5CDD505-2E9C-101B-9397-08002B2CF9AE}" pid="4" name="KSOTemplateDocerSaveRecord">
    <vt:lpwstr>eyJoZGlkIjoiMzRkMzJiMGQ4YTM1OTNmNzg3Yjg0ODJiYzc3OGRkNzkiLCJ1c2VySWQiOiI0NDUxNzMzMDkifQ==</vt:lpwstr>
  </property>
</Properties>
</file>