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64A38">
      <w:pPr>
        <w:widowControl/>
        <w:shd w:val="clear" w:color="auto" w:fill="FFFFFF"/>
        <w:jc w:val="center"/>
        <w:outlineLvl w:val="0"/>
        <w:rPr>
          <w:rFonts w:hint="eastAsia" w:ascii="仿宋" w:hAnsi="仿宋" w:eastAsia="仿宋" w:cs="仿宋"/>
          <w:b/>
          <w:bCs/>
          <w:kern w:val="0"/>
          <w:sz w:val="40"/>
          <w:szCs w:val="40"/>
          <w:highlight w:val="none"/>
          <w:shd w:val="clear" w:color="auto" w:fill="FFFFFF"/>
          <w:lang w:bidi="ar"/>
        </w:rPr>
      </w:pPr>
      <w:r>
        <w:rPr>
          <w:rFonts w:hint="eastAsia" w:ascii="仿宋" w:hAnsi="仿宋" w:eastAsia="仿宋" w:cs="仿宋"/>
          <w:b/>
          <w:bCs/>
          <w:kern w:val="0"/>
          <w:sz w:val="40"/>
          <w:szCs w:val="40"/>
          <w:highlight w:val="none"/>
          <w:shd w:val="clear" w:color="auto" w:fill="FFFFFF"/>
          <w:lang w:bidi="ar"/>
        </w:rPr>
        <w:t>湛江3162亩工业用地为抵押的3户债权项目</w:t>
      </w:r>
    </w:p>
    <w:p w14:paraId="5A55D509">
      <w:pPr>
        <w:widowControl/>
        <w:shd w:val="clear" w:color="auto" w:fill="FFFFFF"/>
        <w:jc w:val="center"/>
        <w:outlineLvl w:val="0"/>
        <w:rPr>
          <w:rFonts w:hint="eastAsia" w:ascii="仿宋" w:hAnsi="仿宋" w:eastAsia="仿宋" w:cs="仿宋"/>
          <w:b/>
          <w:bCs/>
          <w:kern w:val="0"/>
          <w:sz w:val="40"/>
          <w:szCs w:val="40"/>
          <w:highlight w:val="none"/>
          <w:shd w:val="clear" w:color="auto" w:fill="FFFFFF"/>
          <w:lang w:bidi="ar"/>
        </w:rPr>
      </w:pPr>
      <w:r>
        <w:rPr>
          <w:rFonts w:hint="eastAsia" w:ascii="仿宋" w:hAnsi="仿宋" w:eastAsia="仿宋" w:cs="仿宋"/>
          <w:b/>
          <w:bCs/>
          <w:kern w:val="0"/>
          <w:sz w:val="40"/>
          <w:szCs w:val="40"/>
          <w:highlight w:val="none"/>
          <w:shd w:val="clear" w:color="auto" w:fill="FFFFFF"/>
          <w:lang w:bidi="ar"/>
        </w:rPr>
        <w:t>竞买公告</w:t>
      </w:r>
    </w:p>
    <w:p w14:paraId="40D018F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u w:val="single"/>
          <w:shd w:val="clear" w:color="auto" w:fill="FFFFFF"/>
          <w:lang w:bidi="ar"/>
        </w:rPr>
        <w:t>广州资产管理有限公司（以下简称“广州资产”或“转让方”）</w:t>
      </w:r>
      <w:r>
        <w:rPr>
          <w:rFonts w:hint="eastAsia" w:ascii="仿宋" w:hAnsi="仿宋" w:eastAsia="仿宋" w:cs="仿宋"/>
          <w:kern w:val="0"/>
          <w:sz w:val="28"/>
          <w:szCs w:val="28"/>
          <w:highlight w:val="none"/>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9</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25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9</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26</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kern w:val="0"/>
          <w:sz w:val="28"/>
          <w:szCs w:val="28"/>
          <w:highlight w:val="none"/>
          <w:shd w:val="clear" w:color="auto" w:fill="FFFFFF"/>
          <w:lang w:bidi="ar"/>
        </w:rPr>
        <w:t>】网络平台（网址：【https://z.taobao.com/?spm=a2129.27181431.puimod-pc-header_7945012210.1&amp;pmid=7973268836_1756972126308&amp;pmtk=20140647.0.0.0.27181431.puimod-pc-header_7945012210.1&amp;path=27181431】，以下简称“拍卖平台”）开展对</w:t>
      </w:r>
      <w:r>
        <w:rPr>
          <w:rFonts w:hint="eastAsia" w:ascii="仿宋" w:hAnsi="仿宋" w:eastAsia="仿宋" w:cs="仿宋"/>
          <w:kern w:val="0"/>
          <w:sz w:val="28"/>
          <w:szCs w:val="28"/>
          <w:highlight w:val="none"/>
          <w:u w:val="single"/>
          <w:shd w:val="clear" w:color="auto" w:fill="FFFFFF"/>
          <w:lang w:bidi="ar"/>
        </w:rPr>
        <w:t>【湛江市云广贸易有限公司系列3户】不良债权资产（以下简称“标的资产”）</w:t>
      </w:r>
      <w:r>
        <w:rPr>
          <w:rFonts w:hint="eastAsia" w:ascii="仿宋" w:hAnsi="仿宋" w:eastAsia="仿宋" w:cs="仿宋"/>
          <w:kern w:val="0"/>
          <w:sz w:val="28"/>
          <w:szCs w:val="28"/>
          <w:highlight w:val="none"/>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一、竞买事项</w:t>
      </w:r>
    </w:p>
    <w:p w14:paraId="285A4C6F">
      <w:pPr>
        <w:widowControl/>
        <w:shd w:val="clear" w:color="auto" w:fill="FFFFFF"/>
        <w:spacing w:line="360" w:lineRule="auto"/>
        <w:ind w:firstLine="562" w:firstLineChars="200"/>
        <w:jc w:val="left"/>
        <w:outlineLvl w:val="2"/>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（一）竞价标的资产事项</w:t>
      </w:r>
    </w:p>
    <w:p w14:paraId="4E1795B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资产信息：【湛江市云广贸易有限公司系列3户】不良</w:t>
      </w:r>
      <w:r>
        <w:rPr>
          <w:rFonts w:hint="eastAsia" w:ascii="仿宋" w:hAnsi="仿宋" w:eastAsia="仿宋" w:cs="仿宋"/>
          <w:kern w:val="0"/>
          <w:sz w:val="28"/>
          <w:szCs w:val="28"/>
          <w:highlight w:val="none"/>
          <w:shd w:val="clear" w:color="auto" w:fill="FFFFFF"/>
          <w:lang w:val="en-US" w:eastAsia="zh-CN" w:bidi="ar"/>
        </w:rPr>
        <w:t>债权</w:t>
      </w:r>
      <w:r>
        <w:rPr>
          <w:rFonts w:hint="eastAsia" w:ascii="仿宋" w:hAnsi="仿宋" w:eastAsia="仿宋" w:cs="仿宋"/>
          <w:kern w:val="0"/>
          <w:sz w:val="28"/>
          <w:szCs w:val="28"/>
          <w:highlight w:val="none"/>
          <w:shd w:val="clear" w:color="auto" w:fill="FFFFFF"/>
          <w:lang w:bidi="ar"/>
        </w:rPr>
        <w:t>资产，截至基准日</w:t>
      </w:r>
      <w:bookmarkStart w:id="0" w:name="_GoBack"/>
      <w:bookmarkEnd w:id="0"/>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7</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15</w:t>
      </w:r>
      <w:r>
        <w:rPr>
          <w:rFonts w:hint="eastAsia" w:ascii="仿宋" w:hAnsi="仿宋" w:eastAsia="仿宋" w:cs="仿宋"/>
          <w:kern w:val="0"/>
          <w:sz w:val="28"/>
          <w:szCs w:val="28"/>
          <w:highlight w:val="none"/>
          <w:shd w:val="clear" w:color="auto" w:fill="FFFFFF"/>
          <w:lang w:bidi="ar"/>
        </w:rPr>
        <w:t>日，标的资产债权规模合计【84,738.68】万元，其中本金余额【31,375.99】万元，利息等具体以实际计算为准。</w:t>
      </w:r>
    </w:p>
    <w:p w14:paraId="1CAE7E06">
      <w:pPr>
        <w:widowControl/>
        <w:shd w:val="clear" w:color="auto" w:fill="FFFFFF"/>
        <w:spacing w:line="360" w:lineRule="auto"/>
        <w:ind w:firstLine="562" w:firstLineChars="200"/>
        <w:jc w:val="left"/>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主要抵押物信息：</w:t>
      </w:r>
    </w:p>
    <w:p w14:paraId="01F88C84">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（一）抵押物名称及地址：【湛江市东海岛民安镇西湾村</w:t>
      </w:r>
      <w:r>
        <w:rPr>
          <w:rFonts w:hint="eastAsia" w:ascii="仿宋_GB2312" w:hAnsi="仿宋_GB2312" w:eastAsia="仿宋_GB2312" w:cs="仿宋_GB2312"/>
          <w:sz w:val="28"/>
          <w:szCs w:val="28"/>
          <w:highlight w:val="none"/>
          <w:lang w:val="en-US" w:eastAsia="zh-CN"/>
        </w:rPr>
        <w:t>26</w:t>
      </w:r>
      <w:r>
        <w:rPr>
          <w:rFonts w:hint="eastAsia" w:ascii="仿宋_GB2312" w:hAnsi="仿宋_GB2312" w:eastAsia="仿宋_GB2312" w:cs="仿宋_GB2312"/>
          <w:sz w:val="28"/>
          <w:szCs w:val="28"/>
          <w:highlight w:val="none"/>
        </w:rPr>
        <w:t>宗</w:t>
      </w:r>
      <w:r>
        <w:rPr>
          <w:rFonts w:hint="eastAsia" w:ascii="仿宋_GB2312" w:hAnsi="仿宋_GB2312" w:eastAsia="仿宋_GB2312" w:cs="仿宋_GB2312"/>
          <w:sz w:val="28"/>
          <w:szCs w:val="28"/>
          <w:highlight w:val="none"/>
          <w:lang w:val="en-US" w:eastAsia="zh-CN"/>
        </w:rPr>
        <w:t>土地</w:t>
      </w:r>
      <w:r>
        <w:rPr>
          <w:rFonts w:hint="eastAsia" w:ascii="仿宋_GB2312" w:hAnsi="仿宋_GB2312" w:eastAsia="仿宋_GB2312" w:cs="仿宋_GB2312"/>
          <w:sz w:val="28"/>
          <w:szCs w:val="28"/>
          <w:highlight w:val="none"/>
        </w:rPr>
        <w:t>】，土地面积【2</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rPr>
        <w:t>108</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rPr>
        <w:t>125.80㎡】；</w:t>
      </w:r>
    </w:p>
    <w:p w14:paraId="6FFC97BA">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19"/>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756E8D5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932" w:hRule="atLeast"/>
        </w:trPr>
        <w:tc>
          <w:tcPr>
            <w:tcW w:w="5000" w:type="pct"/>
            <w:gridSpan w:val="2"/>
            <w:tcBorders>
              <w:top w:val="dashed" w:color="auto" w:sz="4" w:space="0"/>
              <w:left w:val="dashed" w:color="auto" w:sz="4" w:space="0"/>
              <w:bottom w:val="dashed" w:color="auto" w:sz="4" w:space="0"/>
              <w:right w:val="dashed" w:color="auto" w:sz="4" w:space="0"/>
            </w:tcBorders>
            <w:vAlign w:val="center"/>
          </w:tcPr>
          <w:p w14:paraId="31B48567">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5262880" cy="2817495"/>
                  <wp:effectExtent l="0" t="0" r="13970" b="1905"/>
                  <wp:docPr id="9" name="图片 9" descr="17526364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52636444026"/>
                          <pic:cNvPicPr>
                            <a:picLocks noChangeAspect="1"/>
                          </pic:cNvPicPr>
                        </pic:nvPicPr>
                        <pic:blipFill>
                          <a:blip r:embed="rId4"/>
                          <a:stretch>
                            <a:fillRect/>
                          </a:stretch>
                        </pic:blipFill>
                        <pic:spPr>
                          <a:xfrm>
                            <a:off x="0" y="0"/>
                            <a:ext cx="5262880" cy="2817495"/>
                          </a:xfrm>
                          <a:prstGeom prst="rect">
                            <a:avLst/>
                          </a:prstGeom>
                        </pic:spPr>
                      </pic:pic>
                    </a:graphicData>
                  </a:graphic>
                </wp:inline>
              </w:drawing>
            </w:r>
          </w:p>
        </w:tc>
      </w:tr>
      <w:tr w14:paraId="5108A11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4932" w:hRule="atLeast"/>
        </w:trPr>
        <w:tc>
          <w:tcPr>
            <w:tcW w:w="5000" w:type="pct"/>
            <w:gridSpan w:val="2"/>
            <w:tcBorders>
              <w:top w:val="dashed" w:color="auto" w:sz="4" w:space="0"/>
              <w:left w:val="dashed" w:color="auto" w:sz="4" w:space="0"/>
              <w:bottom w:val="dashed" w:color="auto" w:sz="4" w:space="0"/>
              <w:right w:val="dashed" w:color="auto" w:sz="4" w:space="0"/>
            </w:tcBorders>
            <w:vAlign w:val="center"/>
          </w:tcPr>
          <w:p w14:paraId="0A275EE5">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5271770" cy="2726055"/>
                  <wp:effectExtent l="0" t="0" r="5080" b="17145"/>
                  <wp:docPr id="10" name="图片 10" descr="175263647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52636473304"/>
                          <pic:cNvPicPr>
                            <a:picLocks noChangeAspect="1"/>
                          </pic:cNvPicPr>
                        </pic:nvPicPr>
                        <pic:blipFill>
                          <a:blip r:embed="rId5"/>
                          <a:stretch>
                            <a:fillRect/>
                          </a:stretch>
                        </pic:blipFill>
                        <pic:spPr>
                          <a:xfrm>
                            <a:off x="0" y="0"/>
                            <a:ext cx="5271770" cy="2726055"/>
                          </a:xfrm>
                          <a:prstGeom prst="rect">
                            <a:avLst/>
                          </a:prstGeom>
                        </pic:spPr>
                      </pic:pic>
                    </a:graphicData>
                  </a:graphic>
                </wp:inline>
              </w:drawing>
            </w:r>
          </w:p>
        </w:tc>
      </w:tr>
      <w:tr w14:paraId="0EFFABC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2D323DE5">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1924685"/>
                  <wp:effectExtent l="0" t="0" r="4445" b="18415"/>
                  <wp:docPr id="18" name="图片 18" descr="微信图片_2025062415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50624152545"/>
                          <pic:cNvPicPr>
                            <a:picLocks noChangeAspect="1"/>
                          </pic:cNvPicPr>
                        </pic:nvPicPr>
                        <pic:blipFill>
                          <a:blip r:embed="rId6"/>
                          <a:stretch>
                            <a:fillRect/>
                          </a:stretch>
                        </pic:blipFill>
                        <pic:spPr>
                          <a:xfrm>
                            <a:off x="0" y="0"/>
                            <a:ext cx="2567305" cy="192468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7B7D3FA6">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1924685"/>
                  <wp:effectExtent l="0" t="0" r="4445" b="18415"/>
                  <wp:docPr id="27" name="图片 27" descr="微信图片_2025062415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50624152610"/>
                          <pic:cNvPicPr>
                            <a:picLocks noChangeAspect="1"/>
                          </pic:cNvPicPr>
                        </pic:nvPicPr>
                        <pic:blipFill>
                          <a:blip r:embed="rId7"/>
                          <a:stretch>
                            <a:fillRect/>
                          </a:stretch>
                        </pic:blipFill>
                        <pic:spPr>
                          <a:xfrm>
                            <a:off x="0" y="0"/>
                            <a:ext cx="2567305" cy="1924685"/>
                          </a:xfrm>
                          <a:prstGeom prst="rect">
                            <a:avLst/>
                          </a:prstGeom>
                        </pic:spPr>
                      </pic:pic>
                    </a:graphicData>
                  </a:graphic>
                </wp:inline>
              </w:drawing>
            </w:r>
          </w:p>
        </w:tc>
      </w:tr>
      <w:tr w14:paraId="751D20A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922" w:hRule="atLeast"/>
        </w:trPr>
        <w:tc>
          <w:tcPr>
            <w:tcW w:w="2500" w:type="pct"/>
            <w:tcBorders>
              <w:top w:val="dashed" w:color="auto" w:sz="4" w:space="0"/>
              <w:left w:val="dashed" w:color="auto" w:sz="4" w:space="0"/>
              <w:bottom w:val="dashed" w:color="auto" w:sz="4" w:space="0"/>
              <w:right w:val="dashed" w:color="auto" w:sz="4" w:space="0"/>
            </w:tcBorders>
            <w:vAlign w:val="center"/>
          </w:tcPr>
          <w:p w14:paraId="016CED0C">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0320" cy="1920240"/>
                  <wp:effectExtent l="0" t="0" r="11430" b="3810"/>
                  <wp:docPr id="1" name="图片 1" descr="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55"/>
                          <pic:cNvPicPr>
                            <a:picLocks noChangeAspect="1"/>
                          </pic:cNvPicPr>
                        </pic:nvPicPr>
                        <pic:blipFill>
                          <a:blip r:embed="rId8"/>
                          <a:stretch>
                            <a:fillRect/>
                          </a:stretch>
                        </pic:blipFill>
                        <pic:spPr>
                          <a:xfrm>
                            <a:off x="0" y="0"/>
                            <a:ext cx="2560320" cy="1920240"/>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4ACEA858">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0320" cy="1920240"/>
                  <wp:effectExtent l="0" t="0" r="11430" b="3810"/>
                  <wp:docPr id="2"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
                          <pic:cNvPicPr>
                            <a:picLocks noChangeAspect="1"/>
                          </pic:cNvPicPr>
                        </pic:nvPicPr>
                        <pic:blipFill>
                          <a:blip r:embed="rId9"/>
                          <a:stretch>
                            <a:fillRect/>
                          </a:stretch>
                        </pic:blipFill>
                        <pic:spPr>
                          <a:xfrm>
                            <a:off x="0" y="0"/>
                            <a:ext cx="2560320" cy="1920240"/>
                          </a:xfrm>
                          <a:prstGeom prst="rect">
                            <a:avLst/>
                          </a:prstGeom>
                        </pic:spPr>
                      </pic:pic>
                    </a:graphicData>
                  </a:graphic>
                </wp:inline>
              </w:drawing>
            </w:r>
          </w:p>
        </w:tc>
      </w:tr>
    </w:tbl>
    <w:p w14:paraId="37E36A85">
      <w:pPr>
        <w:widowControl/>
        <w:shd w:val="clear" w:color="auto" w:fill="FFFFFF"/>
        <w:spacing w:line="360" w:lineRule="auto"/>
        <w:ind w:firstLine="562"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详细债权信息见附件：标的资产介绍。</w:t>
      </w:r>
      <w:r>
        <w:rPr>
          <w:rFonts w:hint="eastAsia" w:ascii="仿宋" w:hAnsi="仿宋" w:eastAsia="仿宋" w:cs="仿宋"/>
          <w:kern w:val="0"/>
          <w:sz w:val="28"/>
          <w:szCs w:val="28"/>
          <w:highlight w:val="none"/>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hint="eastAsia" w:ascii="仿宋" w:hAnsi="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4</w:t>
      </w:r>
      <w:r>
        <w:rPr>
          <w:rFonts w:ascii="仿宋" w:hAnsi="仿宋" w:eastAsia="仿宋" w:cs="仿宋"/>
          <w:kern w:val="0"/>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（二）竞价事项</w:t>
      </w:r>
    </w:p>
    <w:p w14:paraId="6C8055B1">
      <w:pPr>
        <w:widowControl/>
        <w:shd w:val="clear" w:color="auto" w:fill="FFFFFF"/>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kern w:val="0"/>
          <w:sz w:val="28"/>
          <w:szCs w:val="28"/>
          <w:highlight w:val="none"/>
          <w:shd w:val="clear" w:color="auto" w:fill="FFFFFF"/>
          <w:lang w:bidi="ar"/>
        </w:rPr>
        <w:t>竞买起拍价：【</w:t>
      </w:r>
      <w:r>
        <w:rPr>
          <w:rFonts w:hint="eastAsia" w:ascii="仿宋" w:hAnsi="仿宋" w:eastAsia="仿宋" w:cs="仿宋"/>
          <w:b/>
          <w:kern w:val="0"/>
          <w:sz w:val="28"/>
          <w:szCs w:val="28"/>
          <w:highlight w:val="none"/>
          <w:shd w:val="clear" w:color="auto" w:fill="FFFFFF"/>
          <w:lang w:val="en-US" w:eastAsia="zh-CN" w:bidi="ar"/>
        </w:rPr>
        <w:t>476,000,000.00</w:t>
      </w:r>
      <w:r>
        <w:rPr>
          <w:rFonts w:hint="eastAsia" w:ascii="仿宋" w:hAnsi="仿宋" w:eastAsia="仿宋" w:cs="仿宋"/>
          <w:b/>
          <w:kern w:val="0"/>
          <w:sz w:val="28"/>
          <w:szCs w:val="28"/>
          <w:highlight w:val="none"/>
          <w:shd w:val="clear" w:color="auto" w:fill="FFFFFF"/>
          <w:lang w:bidi="ar"/>
        </w:rPr>
        <w:t>】元，保证金：【</w:t>
      </w:r>
      <w:r>
        <w:rPr>
          <w:rFonts w:hint="eastAsia" w:ascii="仿宋" w:hAnsi="仿宋" w:eastAsia="仿宋" w:cs="仿宋"/>
          <w:b/>
          <w:kern w:val="0"/>
          <w:sz w:val="28"/>
          <w:szCs w:val="28"/>
          <w:highlight w:val="none"/>
          <w:shd w:val="clear" w:color="auto" w:fill="FFFFFF"/>
          <w:lang w:val="en-US" w:eastAsia="zh-CN" w:bidi="ar"/>
        </w:rPr>
        <w:t>142，800，000.00</w:t>
      </w:r>
      <w:r>
        <w:rPr>
          <w:rFonts w:hint="eastAsia" w:ascii="仿宋" w:hAnsi="仿宋" w:eastAsia="仿宋" w:cs="仿宋"/>
          <w:b/>
          <w:kern w:val="0"/>
          <w:sz w:val="28"/>
          <w:szCs w:val="28"/>
          <w:highlight w:val="none"/>
          <w:shd w:val="clear" w:color="auto" w:fill="FFFFFF"/>
          <w:lang w:bidi="ar"/>
        </w:rPr>
        <w:t>】元，增价幅度：【</w:t>
      </w:r>
      <w:r>
        <w:rPr>
          <w:rFonts w:hint="eastAsia" w:ascii="仿宋" w:hAnsi="仿宋" w:eastAsia="仿宋" w:cs="仿宋"/>
          <w:b/>
          <w:kern w:val="0"/>
          <w:sz w:val="28"/>
          <w:szCs w:val="28"/>
          <w:highlight w:val="none"/>
          <w:shd w:val="clear" w:color="auto" w:fill="FFFFFF"/>
          <w:lang w:val="en-US" w:eastAsia="zh-CN" w:bidi="ar"/>
        </w:rPr>
        <w:t>100,000.00</w:t>
      </w:r>
      <w:r>
        <w:rPr>
          <w:rFonts w:hint="eastAsia" w:ascii="仿宋" w:hAnsi="仿宋" w:eastAsia="仿宋" w:cs="仿宋"/>
          <w:b/>
          <w:kern w:val="0"/>
          <w:sz w:val="28"/>
          <w:szCs w:val="28"/>
          <w:highlight w:val="none"/>
          <w:shd w:val="clear" w:color="auto" w:fill="FFFFFF"/>
          <w:lang w:bidi="ar"/>
        </w:rPr>
        <w:t>】元及其整数倍数。</w:t>
      </w:r>
      <w:r>
        <w:rPr>
          <w:rFonts w:hint="eastAsia" w:ascii="仿宋" w:hAnsi="仿宋" w:eastAsia="仿宋" w:cs="仿宋"/>
          <w:sz w:val="28"/>
          <w:szCs w:val="28"/>
          <w:highlight w:val="none"/>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w:t>
      </w:r>
      <w:r>
        <w:rPr>
          <w:rFonts w:hint="eastAsia" w:ascii="仿宋" w:hAnsi="仿宋" w:eastAsia="仿宋" w:cs="仿宋"/>
          <w:sz w:val="28"/>
          <w:szCs w:val="28"/>
          <w:highlight w:val="none"/>
          <w:lang w:val="en-US" w:eastAsia="zh-CN"/>
        </w:rPr>
        <w:t>加</w:t>
      </w:r>
      <w:r>
        <w:rPr>
          <w:rFonts w:hint="eastAsia" w:ascii="仿宋" w:hAnsi="仿宋" w:eastAsia="仿宋" w:cs="仿宋"/>
          <w:sz w:val="28"/>
          <w:szCs w:val="28"/>
          <w:highlight w:val="none"/>
        </w:rPr>
        <w:t>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sz w:val="28"/>
          <w:szCs w:val="28"/>
          <w:highlight w:val="none"/>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（三）</w:t>
      </w:r>
      <w:r>
        <w:rPr>
          <w:rFonts w:ascii="仿宋" w:hAnsi="仿宋" w:eastAsia="仿宋" w:cs="仿宋"/>
          <w:b/>
          <w:bCs/>
          <w:kern w:val="0"/>
          <w:sz w:val="28"/>
          <w:szCs w:val="28"/>
          <w:highlight w:val="none"/>
          <w:shd w:val="clear" w:color="auto" w:fill="FFFFFF"/>
          <w:lang w:bidi="ar"/>
        </w:rPr>
        <w:t>保证金规则</w:t>
      </w:r>
    </w:p>
    <w:p w14:paraId="227A2824">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1、保证金需在202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25</w:t>
      </w:r>
      <w:r>
        <w:rPr>
          <w:rFonts w:hint="eastAsia" w:ascii="仿宋" w:hAnsi="仿宋" w:eastAsia="仿宋" w:cs="仿宋"/>
          <w:kern w:val="0"/>
          <w:sz w:val="28"/>
          <w:szCs w:val="28"/>
          <w:highlight w:val="none"/>
          <w:shd w:val="clear" w:color="auto" w:fill="FFFFFF"/>
          <w:lang w:bidi="ar"/>
        </w:rPr>
        <w:t>日10:00时（为确保及时到账及查验,建议提前于202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24</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00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bidi="ar"/>
        </w:rPr>
        <w:t>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w:t>
      </w:r>
      <w:r>
        <w:rPr>
          <w:rFonts w:hint="eastAsia" w:ascii="仿宋" w:hAnsi="仿宋" w:eastAsia="仿宋" w:cs="仿宋"/>
          <w:sz w:val="28"/>
          <w:szCs w:val="28"/>
          <w:highlight w:val="none"/>
          <w:shd w:val="clear" w:color="auto" w:fill="FFFFFF"/>
          <w:lang w:bidi="ar"/>
        </w:rPr>
        <w:t>，且广州资产管理有限公司可对标的资产重新处置</w:t>
      </w:r>
      <w:r>
        <w:rPr>
          <w:rFonts w:hint="eastAsia" w:ascii="仿宋" w:hAnsi="仿宋" w:eastAsia="仿宋" w:cs="仿宋"/>
          <w:kern w:val="0"/>
          <w:sz w:val="28"/>
          <w:szCs w:val="28"/>
          <w:highlight w:val="none"/>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（四）交易成交及付款期限</w:t>
      </w:r>
    </w:p>
    <w:p w14:paraId="3FA6828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竞买人自竞价成交之时起成为买受人。标的资产竞得者须承担平台交易费用等相关因交易而产生费用。</w:t>
      </w:r>
    </w:p>
    <w:p w14:paraId="162FB27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买受人需于标的竞价成交之日起【3】个工作日内与转让方签订债权转让协议，受让方可选择一次性付款或分期付款。一次性付款的，须在签订《债权转让协议》之日起【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】个工作日内即需付清全款，竞价保证金自动转为履约保证金；分期付款的，须于成交当日支付不低于相当于成交价格【</w:t>
      </w:r>
      <w:r>
        <w:rPr>
          <w:rFonts w:hint="eastAsia" w:ascii="仿宋" w:hAnsi="仿宋" w:eastAsia="仿宋" w:cs="仿宋"/>
          <w:kern w:val="0"/>
          <w:sz w:val="28"/>
          <w:szCs w:val="28"/>
          <w:highlight w:val="none"/>
          <w:shd w:val="clear" w:color="auto" w:fill="FFFFFF"/>
          <w:lang w:val="en-US" w:eastAsia="zh-CN" w:bidi="ar"/>
        </w:rPr>
        <w:t>30</w:t>
      </w:r>
      <w:r>
        <w:rPr>
          <w:rFonts w:hint="eastAsia" w:ascii="仿宋" w:hAnsi="仿宋" w:eastAsia="仿宋" w:cs="仿宋"/>
          <w:kern w:val="0"/>
          <w:sz w:val="28"/>
          <w:szCs w:val="28"/>
          <w:highlight w:val="none"/>
          <w:shd w:val="clear" w:color="auto" w:fill="FFFFFF"/>
          <w:lang w:bidi="ar"/>
        </w:rPr>
        <w:t>】%的成交价款，剩余成交价款自成交之日起【</w:t>
      </w:r>
      <w:r>
        <w:rPr>
          <w:rFonts w:hint="eastAsia" w:ascii="仿宋" w:hAnsi="仿宋" w:eastAsia="仿宋" w:cs="仿宋"/>
          <w:kern w:val="0"/>
          <w:sz w:val="28"/>
          <w:szCs w:val="28"/>
          <w:highlight w:val="none"/>
          <w:shd w:val="clear" w:color="auto" w:fill="FFFFFF"/>
          <w:lang w:val="en-US" w:eastAsia="zh-CN" w:bidi="ar"/>
        </w:rPr>
        <w:t>不超过2年</w:t>
      </w:r>
      <w:r>
        <w:rPr>
          <w:rFonts w:hint="eastAsia" w:ascii="仿宋" w:hAnsi="仿宋" w:eastAsia="仿宋" w:cs="仿宋"/>
          <w:kern w:val="0"/>
          <w:sz w:val="28"/>
          <w:szCs w:val="28"/>
          <w:highlight w:val="none"/>
          <w:shd w:val="clear" w:color="auto" w:fill="FFFFFF"/>
          <w:lang w:bidi="ar"/>
        </w:rPr>
        <w:t>】内分期支付完毕，分期支付期间，买受人须以剩余未付成交价款为基数，按照【</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】%/年的标准按季向广州资产支付资金占用费，期间债权处置回收优先冲抵成交价款及资金占用费及违约金（如有）。成交后竞买保证金自动转化为成交价款的一部分。</w:t>
      </w:r>
    </w:p>
    <w:p w14:paraId="1345E7E9">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5C0087BC">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二、竞买人条件</w:t>
      </w:r>
    </w:p>
    <w:p w14:paraId="3E5EC0E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kern w:val="0"/>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38F262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7B6B7798">
      <w:pPr>
        <w:widowControl/>
        <w:shd w:val="clear" w:color="auto" w:fill="FFFFFF"/>
        <w:spacing w:line="360" w:lineRule="auto"/>
        <w:ind w:firstLine="643" w:firstLineChars="200"/>
        <w:jc w:val="left"/>
        <w:outlineLvl w:val="1"/>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三、咨询时间与方式</w:t>
      </w:r>
    </w:p>
    <w:p w14:paraId="248B2EB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highlight w:val="none"/>
          <w:shd w:val="clear" w:color="auto" w:fill="FFFFFF"/>
          <w:lang w:bidi="ar"/>
        </w:rPr>
        <w:t>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bCs/>
          <w:kern w:val="0"/>
          <w:sz w:val="28"/>
          <w:szCs w:val="28"/>
          <w:highlight w:val="none"/>
          <w:shd w:val="clear" w:color="auto" w:fill="FFFFFF"/>
          <w:lang w:val="en-US" w:eastAsia="zh-CN" w:bidi="ar"/>
        </w:rPr>
        <w:t>24</w:t>
      </w:r>
      <w:r>
        <w:rPr>
          <w:rFonts w:hint="eastAsia" w:ascii="仿宋" w:hAnsi="仿宋" w:eastAsia="仿宋" w:cs="仿宋"/>
          <w:bCs/>
          <w:kern w:val="0"/>
          <w:sz w:val="28"/>
          <w:szCs w:val="28"/>
          <w:highlight w:val="none"/>
          <w:shd w:val="clear" w:color="auto" w:fill="FFFFFF"/>
          <w:lang w:bidi="ar"/>
        </w:rPr>
        <w:t>日</w:t>
      </w:r>
      <w:r>
        <w:rPr>
          <w:rFonts w:ascii="仿宋" w:hAnsi="仿宋" w:eastAsia="仿宋" w:cs="仿宋"/>
          <w:bCs/>
          <w:kern w:val="0"/>
          <w:sz w:val="28"/>
          <w:szCs w:val="28"/>
          <w:highlight w:val="none"/>
          <w:shd w:val="clear" w:color="auto" w:fill="FFFFFF"/>
          <w:lang w:bidi="ar"/>
        </w:rPr>
        <w:t>17</w:t>
      </w:r>
      <w:r>
        <w:rPr>
          <w:rFonts w:hint="eastAsia" w:ascii="仿宋" w:hAnsi="仿宋" w:eastAsia="仿宋" w:cs="仿宋"/>
          <w:bCs/>
          <w:kern w:val="0"/>
          <w:sz w:val="28"/>
          <w:szCs w:val="28"/>
          <w:highlight w:val="none"/>
          <w:shd w:val="clear" w:color="auto" w:fill="FFFFFF"/>
          <w:lang w:bidi="ar"/>
        </w:rPr>
        <w:t>:0</w:t>
      </w:r>
      <w:r>
        <w:rPr>
          <w:rFonts w:ascii="仿宋" w:hAnsi="仿宋" w:eastAsia="仿宋" w:cs="仿宋"/>
          <w:bCs/>
          <w:kern w:val="0"/>
          <w:sz w:val="28"/>
          <w:szCs w:val="28"/>
          <w:highlight w:val="none"/>
          <w:shd w:val="clear" w:color="auto" w:fill="FFFFFF"/>
          <w:lang w:bidi="ar"/>
        </w:rPr>
        <w:t>0</w:t>
      </w:r>
      <w:r>
        <w:rPr>
          <w:rFonts w:hint="eastAsia" w:ascii="仿宋" w:hAnsi="仿宋" w:eastAsia="仿宋" w:cs="仿宋"/>
          <w:kern w:val="0"/>
          <w:sz w:val="28"/>
          <w:szCs w:val="28"/>
          <w:highlight w:val="none"/>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咨询电话：020-66811813</w:t>
      </w:r>
      <w:r>
        <w:rPr>
          <w:rFonts w:hint="eastAsia" w:ascii="仿宋" w:hAnsi="仿宋" w:eastAsia="仿宋" w:cs="仿宋"/>
          <w:kern w:val="0"/>
          <w:sz w:val="28"/>
          <w:szCs w:val="28"/>
          <w:highlight w:val="none"/>
          <w:shd w:val="clear" w:color="auto" w:fill="FFFFFF"/>
          <w:lang w:eastAsia="zh-CN" w:bidi="ar"/>
        </w:rPr>
        <w:t>、</w:t>
      </w:r>
      <w:r>
        <w:rPr>
          <w:rFonts w:hint="eastAsia" w:ascii="仿宋" w:hAnsi="仿宋" w:eastAsia="仿宋" w:cs="仿宋"/>
          <w:kern w:val="0"/>
          <w:sz w:val="28"/>
          <w:szCs w:val="28"/>
          <w:highlight w:val="none"/>
          <w:shd w:val="clear" w:color="auto" w:fill="FFFFFF"/>
          <w:lang w:val="en-US" w:eastAsia="zh-CN" w:bidi="ar"/>
        </w:rPr>
        <w:t>18688497743</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联系人：周女士、岑先生</w:t>
      </w:r>
    </w:p>
    <w:p w14:paraId="0A57F22E">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90A57B">
      <w:pPr>
        <w:autoSpaceDN w:val="0"/>
        <w:spacing w:line="660" w:lineRule="exact"/>
        <w:rPr>
          <w:rFonts w:hint="eastAsia" w:ascii="仿宋" w:hAnsi="仿宋" w:eastAsia="仿宋" w:cs="仿宋"/>
          <w:kern w:val="0"/>
          <w:sz w:val="28"/>
          <w:szCs w:val="28"/>
          <w:highlight w:val="none"/>
          <w:shd w:val="clear" w:color="auto" w:fill="FFFFFF"/>
          <w:lang w:bidi="ar"/>
        </w:rPr>
      </w:pPr>
    </w:p>
    <w:p w14:paraId="4F03525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四、特别声明</w:t>
      </w:r>
    </w:p>
    <w:p w14:paraId="3FAA961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28C31E4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五、其他事项</w:t>
      </w:r>
    </w:p>
    <w:p w14:paraId="47485A6C">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竞买人在正式竞价活动开始前请务必仔细阅读</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的竞买须知、竞买公告等有关文件。本公告其他未尽事宜，请向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咨询。</w:t>
      </w:r>
    </w:p>
    <w:p w14:paraId="2E00E6A7">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此公告在【</w:t>
      </w:r>
      <w:r>
        <w:rPr>
          <w:rFonts w:hint="eastAsia" w:ascii="仿宋" w:hAnsi="仿宋" w:eastAsia="仿宋" w:cs="仿宋"/>
          <w:kern w:val="0"/>
          <w:sz w:val="28"/>
          <w:szCs w:val="28"/>
          <w:highlight w:val="none"/>
          <w:shd w:val="clear" w:color="auto" w:fill="FFFFFF"/>
          <w:lang w:val="en-US" w:eastAsia="zh-CN" w:bidi="ar"/>
        </w:rPr>
        <w:t>淘宝网</w:t>
      </w:r>
      <w:r>
        <w:rPr>
          <w:rFonts w:hint="eastAsia" w:ascii="仿宋" w:hAnsi="仿宋" w:eastAsia="仿宋" w:cs="仿宋"/>
          <w:kern w:val="0"/>
          <w:sz w:val="28"/>
          <w:szCs w:val="28"/>
          <w:highlight w:val="none"/>
          <w:shd w:val="clear" w:color="auto" w:fill="FFFFFF"/>
          <w:lang w:bidi="ar"/>
        </w:rPr>
        <w:t>】上发布，如对发布内容或资产购买有任何疑问，欢迎拨打咨询电话：【</w:t>
      </w:r>
      <w:r>
        <w:rPr>
          <w:rFonts w:hint="eastAsia" w:ascii="仿宋" w:hAnsi="仿宋" w:eastAsia="仿宋" w:cs="仿宋"/>
          <w:kern w:val="0"/>
          <w:sz w:val="28"/>
          <w:szCs w:val="28"/>
          <w:highlight w:val="none"/>
          <w:shd w:val="clear" w:color="auto" w:fill="FFFFFF"/>
          <w:lang w:val="en-US" w:eastAsia="zh-CN" w:bidi="ar"/>
        </w:rPr>
        <w:t>020-</w:t>
      </w:r>
      <w:r>
        <w:rPr>
          <w:rFonts w:hint="eastAsia" w:ascii="仿宋" w:hAnsi="仿宋" w:eastAsia="仿宋" w:cs="仿宋"/>
          <w:kern w:val="0"/>
          <w:sz w:val="28"/>
          <w:szCs w:val="28"/>
          <w:highlight w:val="none"/>
          <w:shd w:val="clear" w:color="auto" w:fill="FFFFFF"/>
          <w:lang w:bidi="ar"/>
        </w:rPr>
        <w:t>66811813】。</w:t>
      </w:r>
    </w:p>
    <w:p w14:paraId="210E64FF">
      <w:pPr>
        <w:spacing w:line="360" w:lineRule="auto"/>
        <w:rPr>
          <w:rFonts w:hint="eastAsia" w:ascii="仿宋" w:hAnsi="仿宋" w:eastAsia="仿宋" w:cs="仿宋"/>
          <w:kern w:val="0"/>
          <w:sz w:val="28"/>
          <w:szCs w:val="28"/>
          <w:highlight w:val="none"/>
          <w:shd w:val="clear" w:color="auto" w:fill="FFFFFF"/>
          <w:lang w:bidi="ar"/>
        </w:rPr>
      </w:pPr>
    </w:p>
    <w:p w14:paraId="11985C35">
      <w:pPr>
        <w:spacing w:line="360" w:lineRule="auto"/>
        <w:rPr>
          <w:rFonts w:hint="eastAsia" w:ascii="仿宋" w:hAnsi="仿宋" w:eastAsia="仿宋" w:cs="仿宋"/>
          <w:kern w:val="0"/>
          <w:sz w:val="28"/>
          <w:szCs w:val="28"/>
          <w:highlight w:val="none"/>
          <w:shd w:val="clear" w:color="auto" w:fill="FFFFFF"/>
          <w:lang w:bidi="ar"/>
        </w:rPr>
      </w:pPr>
    </w:p>
    <w:p w14:paraId="0AB551BD">
      <w:pPr>
        <w:spacing w:line="360" w:lineRule="auto"/>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0491E73B">
      <w:pPr>
        <w:spacing w:line="360" w:lineRule="auto"/>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9</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10</w:t>
      </w:r>
      <w:r>
        <w:rPr>
          <w:rFonts w:hint="eastAsia" w:ascii="仿宋" w:hAnsi="仿宋" w:eastAsia="仿宋" w:cs="仿宋"/>
          <w:sz w:val="28"/>
          <w:szCs w:val="28"/>
          <w:highlight w:val="none"/>
          <w:shd w:val="clear" w:color="auto" w:fill="FFFFFF"/>
        </w:rPr>
        <w:t>日</w:t>
      </w:r>
    </w:p>
    <w:p w14:paraId="55DD5520">
      <w:pPr>
        <w:spacing w:line="360" w:lineRule="auto"/>
        <w:jc w:val="left"/>
        <w:rPr>
          <w:rFonts w:hint="eastAsia" w:ascii="仿宋" w:hAnsi="仿宋" w:eastAsia="仿宋" w:cs="仿宋"/>
          <w:sz w:val="28"/>
          <w:szCs w:val="28"/>
          <w:highlight w:val="none"/>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230732E"/>
    <w:rsid w:val="03230331"/>
    <w:rsid w:val="042E00EA"/>
    <w:rsid w:val="04EC217E"/>
    <w:rsid w:val="04FB648F"/>
    <w:rsid w:val="08BA12DC"/>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3F76C0F"/>
    <w:rsid w:val="14FD43E8"/>
    <w:rsid w:val="16016597"/>
    <w:rsid w:val="172729B8"/>
    <w:rsid w:val="17C76427"/>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1AF3505"/>
    <w:rsid w:val="22936E93"/>
    <w:rsid w:val="23144AAE"/>
    <w:rsid w:val="23293127"/>
    <w:rsid w:val="233A75AE"/>
    <w:rsid w:val="23582EC1"/>
    <w:rsid w:val="2402254A"/>
    <w:rsid w:val="244D5CE1"/>
    <w:rsid w:val="249B7324"/>
    <w:rsid w:val="24A259AF"/>
    <w:rsid w:val="24B56BCC"/>
    <w:rsid w:val="24F0341C"/>
    <w:rsid w:val="25077DE7"/>
    <w:rsid w:val="254C4627"/>
    <w:rsid w:val="255576CF"/>
    <w:rsid w:val="25607F8F"/>
    <w:rsid w:val="2574181D"/>
    <w:rsid w:val="25B14D16"/>
    <w:rsid w:val="25DB5010"/>
    <w:rsid w:val="26691E49"/>
    <w:rsid w:val="26906414"/>
    <w:rsid w:val="26C10D58"/>
    <w:rsid w:val="2755033C"/>
    <w:rsid w:val="27966331"/>
    <w:rsid w:val="288C30CD"/>
    <w:rsid w:val="28C51C6D"/>
    <w:rsid w:val="296E53B1"/>
    <w:rsid w:val="29757495"/>
    <w:rsid w:val="297E0B29"/>
    <w:rsid w:val="2A6B0D86"/>
    <w:rsid w:val="2A755B87"/>
    <w:rsid w:val="2AE12D0A"/>
    <w:rsid w:val="2AE90A8B"/>
    <w:rsid w:val="2B6A446D"/>
    <w:rsid w:val="2B9B4B36"/>
    <w:rsid w:val="2BA81725"/>
    <w:rsid w:val="2BFB4B4C"/>
    <w:rsid w:val="2DAE7F4E"/>
    <w:rsid w:val="2DC2714C"/>
    <w:rsid w:val="2DD56F1C"/>
    <w:rsid w:val="2E1B18FB"/>
    <w:rsid w:val="2E8928E3"/>
    <w:rsid w:val="2F147F1D"/>
    <w:rsid w:val="2FEA1ED9"/>
    <w:rsid w:val="3043156F"/>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090BC7"/>
    <w:rsid w:val="432E539D"/>
    <w:rsid w:val="441230E9"/>
    <w:rsid w:val="44A7552C"/>
    <w:rsid w:val="45413F94"/>
    <w:rsid w:val="460C1620"/>
    <w:rsid w:val="47523ABF"/>
    <w:rsid w:val="475E5D7A"/>
    <w:rsid w:val="477A2A38"/>
    <w:rsid w:val="4806303C"/>
    <w:rsid w:val="49181C32"/>
    <w:rsid w:val="499E6C63"/>
    <w:rsid w:val="49B53654"/>
    <w:rsid w:val="49BA007A"/>
    <w:rsid w:val="49BD7735"/>
    <w:rsid w:val="49CD1E94"/>
    <w:rsid w:val="4AA41507"/>
    <w:rsid w:val="4ABF672F"/>
    <w:rsid w:val="4AF46532"/>
    <w:rsid w:val="4B353B92"/>
    <w:rsid w:val="4B814C16"/>
    <w:rsid w:val="4B8C7097"/>
    <w:rsid w:val="4C6B011A"/>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BEA5EBF"/>
    <w:rsid w:val="5C104928"/>
    <w:rsid w:val="5C9A4262"/>
    <w:rsid w:val="5CA43D20"/>
    <w:rsid w:val="5DB061CB"/>
    <w:rsid w:val="5DF70D68"/>
    <w:rsid w:val="5E354153"/>
    <w:rsid w:val="5FE9665E"/>
    <w:rsid w:val="61725905"/>
    <w:rsid w:val="61DE734E"/>
    <w:rsid w:val="623E7B17"/>
    <w:rsid w:val="6250429E"/>
    <w:rsid w:val="63467539"/>
    <w:rsid w:val="63660DE7"/>
    <w:rsid w:val="63D8490A"/>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063C90"/>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E0B7AA3"/>
    <w:rsid w:val="7E5D4AA2"/>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character" w:customStyle="1" w:styleId="11">
    <w:name w:val="页眉 字符"/>
    <w:basedOn w:val="9"/>
    <w:link w:val="5"/>
    <w:qFormat/>
    <w:uiPriority w:val="0"/>
    <w:rPr>
      <w:rFonts w:ascii="Calibri" w:hAnsi="Calibri"/>
      <w:kern w:val="2"/>
      <w:sz w:val="18"/>
      <w:szCs w:val="18"/>
    </w:rPr>
  </w:style>
  <w:style w:type="character" w:customStyle="1" w:styleId="12">
    <w:name w:val="页脚 字符"/>
    <w:basedOn w:val="9"/>
    <w:link w:val="4"/>
    <w:qFormat/>
    <w:uiPriority w:val="0"/>
    <w:rPr>
      <w:rFonts w:ascii="Calibri" w:hAnsi="Calibri"/>
      <w:kern w:val="2"/>
      <w:sz w:val="18"/>
      <w:szCs w:val="18"/>
    </w:rPr>
  </w:style>
  <w:style w:type="character" w:customStyle="1" w:styleId="13">
    <w:name w:val="批注框文本 字符"/>
    <w:basedOn w:val="9"/>
    <w:link w:val="3"/>
    <w:qFormat/>
    <w:uiPriority w:val="0"/>
    <w:rPr>
      <w:rFonts w:ascii="Calibri" w:hAnsi="Calibri"/>
      <w:kern w:val="2"/>
      <w:sz w:val="18"/>
      <w:szCs w:val="18"/>
    </w:rPr>
  </w:style>
  <w:style w:type="character" w:customStyle="1" w:styleId="14">
    <w:name w:val="批注文字 字符"/>
    <w:basedOn w:val="9"/>
    <w:link w:val="2"/>
    <w:qFormat/>
    <w:uiPriority w:val="0"/>
    <w:rPr>
      <w:rFonts w:ascii="Calibri" w:hAnsi="Calibri"/>
      <w:kern w:val="2"/>
      <w:sz w:val="21"/>
      <w:szCs w:val="24"/>
    </w:rPr>
  </w:style>
  <w:style w:type="character" w:customStyle="1" w:styleId="15">
    <w:name w:val="批注主题 字符"/>
    <w:basedOn w:val="14"/>
    <w:link w:val="7"/>
    <w:qFormat/>
    <w:uiPriority w:val="0"/>
    <w:rPr>
      <w:rFonts w:ascii="Calibri" w:hAnsi="Calibri"/>
      <w:b/>
      <w:bCs/>
      <w:kern w:val="2"/>
      <w:sz w:val="21"/>
      <w:szCs w:val="24"/>
    </w:rPr>
  </w:style>
  <w:style w:type="paragraph" w:customStyle="1" w:styleId="16">
    <w:name w:val="修订1"/>
    <w:hidden/>
    <w:semiHidden/>
    <w:qFormat/>
    <w:uiPriority w:val="99"/>
    <w:rPr>
      <w:rFonts w:ascii="Calibri" w:hAnsi="Calibri" w:eastAsia="宋体" w:cs="Times New Roman"/>
      <w:kern w:val="2"/>
      <w:sz w:val="21"/>
      <w:szCs w:val="24"/>
      <w:lang w:val="en-US" w:eastAsia="zh-CN" w:bidi="ar-SA"/>
    </w:rPr>
  </w:style>
  <w:style w:type="paragraph" w:customStyle="1" w:styleId="17">
    <w:name w:val="修订2"/>
    <w:hidden/>
    <w:unhideWhenUsed/>
    <w:qFormat/>
    <w:uiPriority w:val="99"/>
    <w:rPr>
      <w:rFonts w:ascii="Calibri" w:hAnsi="Calibri" w:eastAsia="宋体" w:cs="Times New Roman"/>
      <w:kern w:val="2"/>
      <w:sz w:val="21"/>
      <w:szCs w:val="24"/>
      <w:lang w:val="en-US" w:eastAsia="zh-CN" w:bidi="ar-SA"/>
    </w:rPr>
  </w:style>
  <w:style w:type="paragraph" w:customStyle="1" w:styleId="18">
    <w:name w:val="Revision"/>
    <w:hidden/>
    <w:unhideWhenUsed/>
    <w:qFormat/>
    <w:uiPriority w:val="99"/>
    <w:rPr>
      <w:rFonts w:ascii="Calibri" w:hAnsi="Calibri" w:eastAsia="宋体" w:cs="Times New Roman"/>
      <w:kern w:val="2"/>
      <w:sz w:val="21"/>
      <w:szCs w:val="24"/>
      <w:lang w:val="en-US" w:eastAsia="zh-CN" w:bidi="ar-SA"/>
    </w:rPr>
  </w:style>
  <w:style w:type="table" w:customStyle="1" w:styleId="19">
    <w:name w:val="网格型6"/>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2907</Words>
  <Characters>3235</Characters>
  <Lines>24</Lines>
  <Paragraphs>6</Paragraphs>
  <TotalTime>22</TotalTime>
  <ScaleCrop>false</ScaleCrop>
  <LinksUpToDate>false</LinksUpToDate>
  <CharactersWithSpaces>3262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2020-03-19T02:16:00Z</dcterms:created>
  <dc:creator>Administrator</dc:creator>
  <cp:lastModifiedBy>Zhl</cp:lastModifiedBy>
  <cp:lastPrinted>2024-09-23T01:04:00Z</cp:lastPrinted>
  <dcterms:modified xsi:type="dcterms:W3CDTF">2025-09-10T06:42:09Z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eyJoZGlkIjoiMzRkMzJiMGQ4YTM1OTNmNzg3Yjg0ODJiYzc3OGRkNzkiLCJ1c2VySWQiOiI0NDUxNzMzMDkifQ==</vt:lpwstr>
  </property>
</Properties>
</file>